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5CC4E7" w14:textId="77777777" w:rsidR="0019549A" w:rsidRPr="00FF356D" w:rsidRDefault="00305C8A" w:rsidP="00AE013F">
      <w:pPr>
        <w:tabs>
          <w:tab w:val="left" w:pos="8754"/>
        </w:tabs>
        <w:jc w:val="right"/>
        <w:rPr>
          <w:rFonts w:ascii="나눔스퀘어" w:eastAsia="나눔스퀘어" w:hAnsi="나눔스퀘어" w:cs="Arial"/>
        </w:rPr>
      </w:pPr>
      <w:r>
        <w:rPr>
          <w:rFonts w:ascii="나눔스퀘어" w:eastAsia="나눔스퀘어" w:hAnsi="나눔스퀘어" w:cs="Arial"/>
          <w:noProof/>
        </w:rPr>
        <w:drawing>
          <wp:anchor distT="0" distB="0" distL="114300" distR="114300" simplePos="0" relativeHeight="251661312" behindDoc="0" locked="0" layoutInCell="1" allowOverlap="1" wp14:anchorId="5D283296" wp14:editId="0B13749B">
            <wp:simplePos x="0" y="0"/>
            <wp:positionH relativeFrom="margin">
              <wp:align>right</wp:align>
            </wp:positionH>
            <wp:positionV relativeFrom="paragraph">
              <wp:posOffset>-198755</wp:posOffset>
            </wp:positionV>
            <wp:extent cx="2222496" cy="270978"/>
            <wp:effectExtent l="0" t="0" r="0" b="0"/>
            <wp:wrapNone/>
            <wp:docPr id="1599907814"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907814" name="그림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222496" cy="270978"/>
                    </a:xfrm>
                    <a:prstGeom prst="rect">
                      <a:avLst/>
                    </a:prstGeom>
                    <a:noFill/>
                    <a:ln>
                      <a:noFill/>
                    </a:ln>
                  </pic:spPr>
                </pic:pic>
              </a:graphicData>
            </a:graphic>
          </wp:anchor>
        </w:drawing>
      </w:r>
      <w:r w:rsidR="0064276A">
        <w:rPr>
          <w:noProof/>
        </w:rPr>
        <w:drawing>
          <wp:anchor distT="0" distB="0" distL="114300" distR="114300" simplePos="0" relativeHeight="251658239" behindDoc="1" locked="0" layoutInCell="1" allowOverlap="1" wp14:anchorId="3E4D56E2" wp14:editId="2B68DFDC">
            <wp:simplePos x="0" y="0"/>
            <wp:positionH relativeFrom="column">
              <wp:posOffset>-723900</wp:posOffset>
            </wp:positionH>
            <wp:positionV relativeFrom="page">
              <wp:posOffset>11479</wp:posOffset>
            </wp:positionV>
            <wp:extent cx="7553911" cy="10671434"/>
            <wp:effectExtent l="0" t="0" r="9525" b="0"/>
            <wp:wrapNone/>
            <wp:docPr id="572471699"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53911" cy="1067143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EFA8DA2" w14:textId="77777777" w:rsidR="00811064" w:rsidRDefault="00811064" w:rsidP="00811064">
      <w:pPr>
        <w:tabs>
          <w:tab w:val="left" w:pos="800"/>
          <w:tab w:val="left" w:pos="8600"/>
        </w:tabs>
        <w:jc w:val="left"/>
        <w:rPr>
          <w:rFonts w:ascii="나눔스퀘어" w:eastAsia="나눔스퀘어" w:hAnsi="나눔스퀘어" w:cs="Arial"/>
        </w:rPr>
      </w:pPr>
    </w:p>
    <w:p w14:paraId="6D187723" w14:textId="77777777" w:rsidR="00811064" w:rsidRDefault="00811064" w:rsidP="00811064">
      <w:pPr>
        <w:tabs>
          <w:tab w:val="left" w:pos="800"/>
          <w:tab w:val="left" w:pos="8600"/>
        </w:tabs>
        <w:jc w:val="left"/>
        <w:rPr>
          <w:rFonts w:ascii="나눔스퀘어" w:eastAsia="나눔스퀘어" w:hAnsi="나눔스퀘어" w:cs="Arial"/>
        </w:rPr>
      </w:pPr>
    </w:p>
    <w:p w14:paraId="5E9F5A25" w14:textId="125C7443" w:rsidR="00837670" w:rsidRDefault="00725F3F" w:rsidP="00725F3F">
      <w:pPr>
        <w:tabs>
          <w:tab w:val="left" w:pos="7305"/>
        </w:tabs>
        <w:jc w:val="left"/>
        <w:rPr>
          <w:rFonts w:ascii="나눔스퀘어" w:eastAsia="나눔스퀘어" w:hAnsi="나눔스퀘어" w:cs="Arial"/>
        </w:rPr>
      </w:pPr>
      <w:r>
        <w:rPr>
          <w:rFonts w:ascii="나눔스퀘어" w:eastAsia="나눔스퀘어" w:hAnsi="나눔스퀘어" w:cs="Arial"/>
        </w:rPr>
        <w:tab/>
      </w:r>
    </w:p>
    <w:p w14:paraId="225234F4" w14:textId="77777777" w:rsidR="00837670" w:rsidRPr="00FF356D" w:rsidRDefault="00837670" w:rsidP="00811064">
      <w:pPr>
        <w:tabs>
          <w:tab w:val="left" w:pos="800"/>
          <w:tab w:val="left" w:pos="8600"/>
        </w:tabs>
        <w:jc w:val="left"/>
        <w:rPr>
          <w:rFonts w:ascii="나눔스퀘어" w:eastAsia="나눔스퀘어" w:hAnsi="나눔스퀘어" w:cs="Arial"/>
        </w:rPr>
      </w:pPr>
    </w:p>
    <w:p w14:paraId="46C6439D" w14:textId="77777777" w:rsidR="002B2A2D" w:rsidRDefault="002B2A2D" w:rsidP="002B2A2D">
      <w:pPr>
        <w:jc w:val="left"/>
        <w:rPr>
          <w:rFonts w:ascii="나눔스퀘어 ExtraBold" w:eastAsia="나눔스퀘어 ExtraBold" w:hAnsi="나눔스퀘어 ExtraBold" w:cs="Arial"/>
          <w:color w:val="124191" w:themeColor="text2"/>
          <w:sz w:val="80"/>
          <w:szCs w:val="80"/>
        </w:rPr>
      </w:pPr>
      <w:r>
        <w:rPr>
          <w:color w:val="124191"/>
          <w:sz w:val="56"/>
        </w:rPr>
        <w:t>AI-Based No-Reference Video Quality Assessment for the 5G and 6G Era</w:t>
      </w:r>
    </w:p>
    <w:p w14:paraId="3F1CC91C" w14:textId="3985E975" w:rsidR="002B2A2D" w:rsidRDefault="002B2A2D" w:rsidP="007B250E">
      <w:pPr>
        <w:jc w:val="left"/>
        <w:rPr>
          <w:rFonts w:ascii="나눔스퀘어 Bold" w:eastAsia="나눔스퀘어 Bold" w:hAnsi="나눔스퀘어 Bold" w:cs="Arial"/>
          <w:sz w:val="56"/>
          <w:szCs w:val="56"/>
        </w:rPr>
      </w:pPr>
      <w:r>
        <w:rPr>
          <w:color w:val="222222"/>
          <w:sz w:val="30"/>
        </w:rPr>
        <w:t>Standardization Trends, VQML® Algorithm Overview, and Use Cases with XCAL</w:t>
      </w:r>
    </w:p>
    <w:p w14:paraId="4E5C004D" w14:textId="77777777" w:rsidR="000E3C8E" w:rsidRPr="00537F49" w:rsidRDefault="000E3C8E" w:rsidP="007B250E">
      <w:pPr>
        <w:jc w:val="left"/>
        <w:rPr>
          <w:rFonts w:ascii="나눔스퀘어" w:eastAsia="나눔스퀘어" w:hAnsi="나눔스퀘어" w:cs="Arial"/>
        </w:rPr>
      </w:pPr>
      <w:bookmarkStart w:id="0" w:name="_Hlk196826371"/>
    </w:p>
    <w:p w14:paraId="3A846E9A" w14:textId="77777777" w:rsidR="00AA3708" w:rsidRPr="00537F49" w:rsidRDefault="00AA3708" w:rsidP="00537F49">
      <w:pPr>
        <w:jc w:val="left"/>
        <w:rPr>
          <w:rFonts w:ascii="나눔스퀘어 Bold" w:eastAsia="나눔스퀘어 Bold" w:hAnsi="나눔스퀘어 Bold" w:cs="Arial"/>
        </w:rPr>
      </w:pPr>
    </w:p>
    <w:p w14:paraId="0593E19E" w14:textId="77777777" w:rsidR="00837670" w:rsidRPr="00537F49" w:rsidRDefault="00837670" w:rsidP="00537F49">
      <w:pPr>
        <w:jc w:val="left"/>
        <w:rPr>
          <w:rFonts w:ascii="나눔스퀘어 Bold" w:eastAsia="나눔스퀘어 Bold" w:hAnsi="나눔스퀘어 Bold" w:cs="Arial"/>
        </w:rPr>
      </w:pPr>
    </w:p>
    <w:p w14:paraId="15430B72" w14:textId="77777777" w:rsidR="00837670" w:rsidRPr="00537F49" w:rsidRDefault="00837670" w:rsidP="00537F49">
      <w:pPr>
        <w:jc w:val="left"/>
        <w:rPr>
          <w:rFonts w:ascii="나눔스퀘어 Bold" w:eastAsia="나눔스퀘어 Bold" w:hAnsi="나눔스퀘어 Bold" w:cs="Arial"/>
        </w:rPr>
      </w:pPr>
    </w:p>
    <w:p w14:paraId="481ACBDC" w14:textId="77777777" w:rsidR="00837670" w:rsidRPr="00537F49" w:rsidRDefault="00837670" w:rsidP="00537F49">
      <w:pPr>
        <w:jc w:val="left"/>
        <w:rPr>
          <w:rFonts w:ascii="나눔스퀘어 Bold" w:eastAsia="나눔스퀘어 Bold" w:hAnsi="나눔스퀘어 Bold" w:cs="Arial"/>
        </w:rPr>
      </w:pPr>
    </w:p>
    <w:p w14:paraId="470BA0A5" w14:textId="77777777" w:rsidR="00837670" w:rsidRPr="00537F49" w:rsidRDefault="00837670" w:rsidP="00537F49">
      <w:pPr>
        <w:jc w:val="left"/>
        <w:rPr>
          <w:rFonts w:ascii="나눔스퀘어 Bold" w:eastAsia="나눔스퀘어 Bold" w:hAnsi="나눔스퀘어 Bold" w:cs="Arial"/>
        </w:rPr>
      </w:pPr>
    </w:p>
    <w:p w14:paraId="241EBF19" w14:textId="77777777" w:rsidR="00AA3708" w:rsidRPr="00537F49" w:rsidRDefault="00AA3708" w:rsidP="00537F49">
      <w:pPr>
        <w:jc w:val="left"/>
        <w:rPr>
          <w:rFonts w:ascii="나눔스퀘어 Bold" w:eastAsia="나눔스퀘어 Bold" w:hAnsi="나눔스퀘어 Bold" w:cs="Arial"/>
        </w:rPr>
      </w:pPr>
    </w:p>
    <w:tbl>
      <w:tblPr>
        <w:tblStyle w:val="ad"/>
        <w:tblW w:w="0" w:type="auto"/>
        <w:tblCellMar>
          <w:left w:w="142" w:type="dxa"/>
          <w:right w:w="85" w:type="dxa"/>
        </w:tblCellMar>
        <w:tblLook w:val="04A0" w:firstRow="1" w:lastRow="0" w:firstColumn="1" w:lastColumn="0" w:noHBand="0" w:noVBand="1"/>
      </w:tblPr>
      <w:tblGrid>
        <w:gridCol w:w="9900"/>
      </w:tblGrid>
      <w:tr w:rsidR="00AA3708" w:rsidRPr="00537F49" w14:paraId="7D9995C5" w14:textId="77777777" w:rsidTr="00AA3708">
        <w:trPr>
          <w:trHeight w:val="964"/>
        </w:trPr>
        <w:tc>
          <w:tcPr>
            <w:tcW w:w="9905" w:type="dxa"/>
            <w:tcBorders>
              <w:top w:val="nil"/>
              <w:left w:val="single" w:sz="12" w:space="0" w:color="124191" w:themeColor="text2"/>
              <w:bottom w:val="nil"/>
              <w:right w:val="nil"/>
            </w:tcBorders>
          </w:tcPr>
          <w:p w14:paraId="4A95DDCD" w14:textId="17945ABD" w:rsidR="00AA3708" w:rsidRPr="00C06D55" w:rsidRDefault="00AA3708" w:rsidP="0001607F">
            <w:pPr>
              <w:jc w:val="left"/>
              <w:rPr>
                <w:rFonts w:ascii="나눔스퀘어 Bold" w:eastAsiaTheme="minorEastAsia" w:hAnsi="나눔스퀘어 Bold" w:cs="Arial"/>
                <w:sz w:val="18"/>
                <w:szCs w:val="18"/>
              </w:rPr>
            </w:pPr>
            <w:r w:rsidRPr="00ED6035">
              <w:rPr>
                <w:color w:val="222222"/>
                <w:sz w:val="18"/>
                <w:szCs w:val="18"/>
              </w:rPr>
              <w:t xml:space="preserve">Doc </w:t>
            </w:r>
            <w:proofErr w:type="gramStart"/>
            <w:r w:rsidRPr="00ED6035">
              <w:rPr>
                <w:color w:val="222222"/>
                <w:sz w:val="18"/>
                <w:szCs w:val="18"/>
              </w:rPr>
              <w:t>Rev :</w:t>
            </w:r>
            <w:proofErr w:type="gramEnd"/>
            <w:r w:rsidRPr="00ED6035">
              <w:rPr>
                <w:color w:val="222222"/>
                <w:sz w:val="18"/>
                <w:szCs w:val="18"/>
              </w:rPr>
              <w:t xml:space="preserve"> 1.0</w:t>
            </w:r>
            <w:r w:rsidR="00C06D55">
              <w:rPr>
                <w:rFonts w:eastAsiaTheme="minorEastAsia" w:hint="eastAsia"/>
                <w:color w:val="222222"/>
                <w:sz w:val="18"/>
                <w:szCs w:val="18"/>
              </w:rPr>
              <w:t>.0</w:t>
            </w:r>
          </w:p>
          <w:p w14:paraId="07164D21" w14:textId="543D353B" w:rsidR="00AA3708" w:rsidRPr="00753360" w:rsidRDefault="00753360" w:rsidP="0001607F">
            <w:pPr>
              <w:jc w:val="left"/>
              <w:rPr>
                <w:rFonts w:ascii="나눔스퀘어" w:eastAsiaTheme="minorEastAsia" w:hAnsi="나눔스퀘어" w:cs="Arial"/>
              </w:rPr>
            </w:pPr>
            <w:r>
              <w:rPr>
                <w:rFonts w:eastAsiaTheme="minorEastAsia" w:hint="eastAsia"/>
              </w:rPr>
              <w:t>July 2026</w:t>
            </w:r>
          </w:p>
        </w:tc>
      </w:tr>
      <w:bookmarkEnd w:id="0"/>
    </w:tbl>
    <w:p w14:paraId="08139BE8" w14:textId="77777777" w:rsidR="00837670" w:rsidRPr="00837670" w:rsidRDefault="00837670" w:rsidP="00AA3708">
      <w:pPr>
        <w:ind w:right="226"/>
        <w:jc w:val="center"/>
        <w:rPr>
          <w:rFonts w:ascii="나눔스퀘어 Bold" w:eastAsia="나눔스퀘어 Bold" w:hAnsi="나눔스퀘어 Bold" w:cs="Arial"/>
          <w:sz w:val="24"/>
          <w:szCs w:val="24"/>
        </w:rPr>
      </w:pPr>
    </w:p>
    <w:p w14:paraId="7350D823" w14:textId="77777777" w:rsidR="00760597" w:rsidRDefault="003D21F4" w:rsidP="00760597">
      <w:pPr>
        <w:widowControl/>
        <w:wordWrap/>
        <w:jc w:val="left"/>
        <w:rPr>
          <w:rFonts w:ascii="나눔스퀘어" w:eastAsia="나눔스퀘어" w:hAnsi="나눔스퀘어" w:cs="Arial"/>
        </w:rPr>
      </w:pPr>
      <w:r>
        <w:rPr>
          <w:noProof/>
          <w14:ligatures w14:val="standardContextual"/>
        </w:rPr>
        <w:drawing>
          <wp:anchor distT="0" distB="0" distL="114300" distR="114300" simplePos="0" relativeHeight="251660288" behindDoc="1" locked="0" layoutInCell="1" allowOverlap="1" wp14:anchorId="5567CBC7" wp14:editId="4C4E3727">
            <wp:simplePos x="0" y="0"/>
            <wp:positionH relativeFrom="column">
              <wp:posOffset>41910</wp:posOffset>
            </wp:positionH>
            <wp:positionV relativeFrom="page">
              <wp:posOffset>10083800</wp:posOffset>
            </wp:positionV>
            <wp:extent cx="421005" cy="213995"/>
            <wp:effectExtent l="0" t="0" r="0" b="0"/>
            <wp:wrapSquare wrapText="bothSides"/>
            <wp:docPr id="1027407638" name="그래픽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407638" name="그래픽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21005" cy="213995"/>
                    </a:xfrm>
                    <a:prstGeom prst="rect">
                      <a:avLst/>
                    </a:prstGeom>
                  </pic:spPr>
                </pic:pic>
              </a:graphicData>
            </a:graphic>
            <wp14:sizeRelH relativeFrom="margin">
              <wp14:pctWidth>0</wp14:pctWidth>
            </wp14:sizeRelH>
            <wp14:sizeRelV relativeFrom="margin">
              <wp14:pctHeight>0</wp14:pctHeight>
            </wp14:sizeRelV>
          </wp:anchor>
        </w:drawing>
      </w:r>
      <w:r w:rsidR="0019549A" w:rsidRPr="00FF356D">
        <w:rPr>
          <w:rFonts w:ascii="나눔스퀘어 ExtraBold" w:eastAsia="나눔스퀘어 ExtraBold" w:hAnsi="나눔스퀘어 ExtraBold" w:cs="Arial"/>
          <w:noProof/>
          <w:sz w:val="80"/>
          <w:szCs w:val="80"/>
        </w:rPr>
        <w:br w:type="page"/>
      </w:r>
    </w:p>
    <w:p w14:paraId="7F80B424" w14:textId="77777777" w:rsidR="00760597" w:rsidRPr="00760597" w:rsidRDefault="00760597" w:rsidP="00760597">
      <w:pPr>
        <w:widowControl/>
        <w:wordWrap/>
        <w:spacing w:line="288" w:lineRule="auto"/>
        <w:jc w:val="left"/>
        <w:rPr>
          <w:rFonts w:ascii="나눔스퀘어 Bold" w:eastAsia="나눔스퀘어 Bold" w:hAnsi="나눔스퀘어 Bold" w:cs="Arial"/>
          <w:sz w:val="22"/>
          <w:szCs w:val="22"/>
        </w:rPr>
      </w:pPr>
      <w:r>
        <w:rPr>
          <w:color w:val="222222"/>
        </w:rPr>
        <w:lastRenderedPageBreak/>
        <w:t xml:space="preserve">© 2026 LIG </w:t>
      </w:r>
      <w:proofErr w:type="spellStart"/>
      <w:r>
        <w:rPr>
          <w:color w:val="222222"/>
        </w:rPr>
        <w:t>Accuver</w:t>
      </w:r>
      <w:proofErr w:type="spellEnd"/>
      <w:r>
        <w:rPr>
          <w:color w:val="222222"/>
        </w:rPr>
        <w:t xml:space="preserve"> Co., Ltd. All rights reserved.</w:t>
      </w:r>
    </w:p>
    <w:p w14:paraId="078BCBFB" w14:textId="77777777" w:rsidR="00760597" w:rsidRPr="00760597" w:rsidRDefault="00760597" w:rsidP="00760597">
      <w:pPr>
        <w:spacing w:line="288" w:lineRule="auto"/>
        <w:jc w:val="left"/>
        <w:rPr>
          <w:rFonts w:ascii="나눔스퀘어" w:eastAsia="나눔스퀘어" w:hAnsi="나눔스퀘어" w:cs="Arial"/>
        </w:rPr>
      </w:pPr>
      <w:r>
        <w:rPr>
          <w:color w:val="222222"/>
        </w:rPr>
        <w:t xml:space="preserve">This document may not be reproduced, distributed, disclosed to third parties, or modified without prior written permission from LIG </w:t>
      </w:r>
      <w:proofErr w:type="spellStart"/>
      <w:r>
        <w:rPr>
          <w:color w:val="222222"/>
        </w:rPr>
        <w:t>Accuver</w:t>
      </w:r>
      <w:proofErr w:type="spellEnd"/>
      <w:r>
        <w:rPr>
          <w:color w:val="222222"/>
        </w:rPr>
        <w:t xml:space="preserve">. LIG </w:t>
      </w:r>
      <w:proofErr w:type="spellStart"/>
      <w:r>
        <w:rPr>
          <w:color w:val="222222"/>
        </w:rPr>
        <w:t>Accuver</w:t>
      </w:r>
      <w:proofErr w:type="spellEnd"/>
      <w:r>
        <w:rPr>
          <w:color w:val="222222"/>
        </w:rPr>
        <w:t xml:space="preserve"> shall not be liable for any direct or indirect loss arising from the use of this document. All information contained herein is subject to change without prior notice.</w:t>
      </w:r>
    </w:p>
    <w:p w14:paraId="191D1C40" w14:textId="77777777" w:rsidR="00760597" w:rsidRPr="00FF356D" w:rsidRDefault="00760597" w:rsidP="00760597">
      <w:pPr>
        <w:jc w:val="left"/>
        <w:rPr>
          <w:rFonts w:ascii="나눔스퀘어" w:eastAsia="나눔스퀘어" w:hAnsi="나눔스퀘어" w:cs="Arial"/>
        </w:rPr>
      </w:pPr>
    </w:p>
    <w:p w14:paraId="0CD18258" w14:textId="77777777" w:rsidR="002B2A2D" w:rsidRDefault="002B2A2D">
      <w:pPr>
        <w:widowControl/>
        <w:wordWrap/>
        <w:spacing w:after="160"/>
        <w:jc w:val="left"/>
        <w:rPr>
          <w:rFonts w:ascii="나눔스퀘어" w:eastAsia="나눔스퀘어" w:hAnsi="나눔스퀘어" w:cs="Arial"/>
        </w:rPr>
      </w:pPr>
      <w:r>
        <w:rPr>
          <w:rFonts w:ascii="나눔스퀘어" w:eastAsia="나눔스퀘어" w:hAnsi="나눔스퀘어" w:cs="Arial"/>
        </w:rPr>
        <w:br w:type="page"/>
      </w:r>
    </w:p>
    <w:p w14:paraId="5C821B32" w14:textId="77777777" w:rsidR="00CB1DC7" w:rsidRDefault="00000000">
      <w:pPr>
        <w:spacing w:before="480" w:after="360"/>
      </w:pPr>
      <w:r>
        <w:rPr>
          <w:color w:val="222222"/>
          <w:sz w:val="50"/>
        </w:rPr>
        <w:lastRenderedPageBreak/>
        <w:t>Contents</w:t>
      </w:r>
    </w:p>
    <w:p w14:paraId="065A33F8" w14:textId="77777777" w:rsidR="00CB1DC7" w:rsidRDefault="00000000">
      <w:pPr>
        <w:pStyle w:val="10"/>
        <w:tabs>
          <w:tab w:val="right" w:leader="dot" w:pos="9432"/>
        </w:tabs>
        <w:spacing w:before="60" w:after="60"/>
      </w:pPr>
      <w:r>
        <w:rPr>
          <w:b/>
        </w:rPr>
        <w:t>Executive Summary</w:t>
      </w:r>
      <w:r>
        <w:rPr>
          <w:b/>
        </w:rPr>
        <w:tab/>
        <w:t>4</w:t>
      </w:r>
    </w:p>
    <w:p w14:paraId="4D886CA9" w14:textId="77777777" w:rsidR="00CB1DC7" w:rsidRDefault="00000000">
      <w:pPr>
        <w:pStyle w:val="10"/>
        <w:tabs>
          <w:tab w:val="right" w:leader="dot" w:pos="9432"/>
        </w:tabs>
        <w:spacing w:before="60" w:after="60"/>
      </w:pPr>
      <w:r>
        <w:rPr>
          <w:b/>
        </w:rPr>
        <w:t>1. ITU-T Video Quality Assessment Standardization Trends</w:t>
      </w:r>
      <w:r>
        <w:rPr>
          <w:b/>
        </w:rPr>
        <w:tab/>
        <w:t>5</w:t>
      </w:r>
    </w:p>
    <w:p w14:paraId="05BD78BF" w14:textId="77777777" w:rsidR="00CB1DC7" w:rsidRDefault="00000000">
      <w:pPr>
        <w:pStyle w:val="20"/>
        <w:tabs>
          <w:tab w:val="right" w:leader="dot" w:pos="9432"/>
        </w:tabs>
        <w:spacing w:after="20"/>
      </w:pPr>
      <w:r>
        <w:t xml:space="preserve">1.1 Role of ITU-T SG12 in QoS and </w:t>
      </w:r>
      <w:proofErr w:type="spellStart"/>
      <w:r>
        <w:t>QoE</w:t>
      </w:r>
      <w:proofErr w:type="spellEnd"/>
      <w:r>
        <w:t xml:space="preserve"> Standardization</w:t>
      </w:r>
      <w:r>
        <w:tab/>
        <w:t>5</w:t>
      </w:r>
    </w:p>
    <w:p w14:paraId="50CDF9B3" w14:textId="77777777" w:rsidR="00CB1DC7" w:rsidRDefault="00000000">
      <w:pPr>
        <w:pStyle w:val="20"/>
        <w:tabs>
          <w:tab w:val="right" w:leader="dot" w:pos="9432"/>
        </w:tabs>
        <w:spacing w:after="20"/>
      </w:pPr>
      <w:r>
        <w:t>1.2 J Series and P Series: Complementary Perspectives</w:t>
      </w:r>
      <w:r>
        <w:tab/>
        <w:t>5</w:t>
      </w:r>
    </w:p>
    <w:p w14:paraId="08F1185B" w14:textId="77777777" w:rsidR="00CB1DC7" w:rsidRDefault="00000000">
      <w:pPr>
        <w:pStyle w:val="20"/>
        <w:tabs>
          <w:tab w:val="right" w:leader="dot" w:pos="9432"/>
        </w:tabs>
        <w:spacing w:after="20"/>
      </w:pPr>
      <w:r>
        <w:t>1.3 Full-Reference, Reduced-Reference, and No-Reference Methods</w:t>
      </w:r>
      <w:r>
        <w:tab/>
        <w:t>6</w:t>
      </w:r>
    </w:p>
    <w:p w14:paraId="244003BF" w14:textId="77777777" w:rsidR="00CB1DC7" w:rsidRDefault="00000000">
      <w:pPr>
        <w:pStyle w:val="20"/>
        <w:tabs>
          <w:tab w:val="right" w:leader="dot" w:pos="9432"/>
        </w:tabs>
        <w:spacing w:after="20"/>
      </w:pPr>
      <w:r>
        <w:t>1.4 The Approved ITU-T J.344 Framework</w:t>
      </w:r>
      <w:r>
        <w:tab/>
        <w:t>7</w:t>
      </w:r>
    </w:p>
    <w:p w14:paraId="46DC8210" w14:textId="77777777" w:rsidR="00CB1DC7" w:rsidRDefault="00000000">
      <w:pPr>
        <w:pStyle w:val="20"/>
        <w:tabs>
          <w:tab w:val="right" w:leader="dot" w:pos="9432"/>
        </w:tabs>
        <w:spacing w:after="20"/>
      </w:pPr>
      <w:r>
        <w:t>1.5 Standardization and Commercial Significance</w:t>
      </w:r>
      <w:r>
        <w:tab/>
        <w:t>7</w:t>
      </w:r>
    </w:p>
    <w:p w14:paraId="14768B30" w14:textId="77777777" w:rsidR="00CB1DC7" w:rsidRDefault="00000000">
      <w:pPr>
        <w:pStyle w:val="10"/>
        <w:tabs>
          <w:tab w:val="right" w:leader="dot" w:pos="9432"/>
        </w:tabs>
        <w:spacing w:before="60" w:after="60"/>
      </w:pPr>
      <w:r>
        <w:rPr>
          <w:b/>
        </w:rPr>
        <w:t>2. Algorithm Overview: LIG Accuver VQML®</w:t>
      </w:r>
      <w:r>
        <w:rPr>
          <w:b/>
        </w:rPr>
        <w:tab/>
        <w:t>8</w:t>
      </w:r>
    </w:p>
    <w:p w14:paraId="22C66F14" w14:textId="77777777" w:rsidR="00CB1DC7" w:rsidRDefault="00000000">
      <w:pPr>
        <w:pStyle w:val="20"/>
        <w:tabs>
          <w:tab w:val="right" w:leader="dot" w:pos="9432"/>
        </w:tabs>
        <w:spacing w:after="20"/>
      </w:pPr>
      <w:r>
        <w:t>2.1 What Is VQML®?</w:t>
      </w:r>
      <w:r>
        <w:tab/>
        <w:t>8</w:t>
      </w:r>
    </w:p>
    <w:p w14:paraId="31A02669" w14:textId="77777777" w:rsidR="00CB1DC7" w:rsidRDefault="00000000">
      <w:pPr>
        <w:pStyle w:val="20"/>
        <w:tabs>
          <w:tab w:val="right" w:leader="dot" w:pos="9432"/>
        </w:tabs>
        <w:spacing w:after="20"/>
      </w:pPr>
      <w:r>
        <w:t>2.2 Input and Output Structure</w:t>
      </w:r>
      <w:r>
        <w:tab/>
        <w:t>8</w:t>
      </w:r>
    </w:p>
    <w:p w14:paraId="67EE634F" w14:textId="77777777" w:rsidR="00CB1DC7" w:rsidRDefault="00000000">
      <w:pPr>
        <w:pStyle w:val="20"/>
        <w:tabs>
          <w:tab w:val="right" w:leader="dot" w:pos="9432"/>
        </w:tabs>
        <w:spacing w:after="20"/>
      </w:pPr>
      <w:r>
        <w:t>2.3 Model Architecture: Evolution from CNN + GRU to Transformer + CNN</w:t>
      </w:r>
      <w:r>
        <w:tab/>
        <w:t>9</w:t>
      </w:r>
    </w:p>
    <w:p w14:paraId="3F64AD62" w14:textId="77777777" w:rsidR="00CB1DC7" w:rsidRDefault="00000000">
      <w:pPr>
        <w:pStyle w:val="20"/>
        <w:tabs>
          <w:tab w:val="right" w:leader="dot" w:pos="9432"/>
        </w:tabs>
        <w:spacing w:after="20"/>
      </w:pPr>
      <w:r>
        <w:t>2.4 Multi-Score VQA Architecture</w:t>
      </w:r>
      <w:r>
        <w:tab/>
        <w:t>9</w:t>
      </w:r>
    </w:p>
    <w:p w14:paraId="686C2AAF" w14:textId="18AE7735" w:rsidR="00753360" w:rsidRPr="00753360" w:rsidRDefault="00000000" w:rsidP="00753360">
      <w:pPr>
        <w:pStyle w:val="20"/>
        <w:tabs>
          <w:tab w:val="right" w:leader="dot" w:pos="9432"/>
        </w:tabs>
        <w:spacing w:after="20"/>
        <w:rPr>
          <w:rFonts w:eastAsiaTheme="minorEastAsia"/>
        </w:rPr>
      </w:pPr>
      <w:r>
        <w:t>2.5 Performance Evaluation and Benchmark Results</w:t>
      </w:r>
      <w:r>
        <w:tab/>
        <w:t>10</w:t>
      </w:r>
    </w:p>
    <w:p w14:paraId="36F73DB3" w14:textId="1E508B1E" w:rsidR="00CB1DC7" w:rsidRPr="009C6B48" w:rsidRDefault="00000000">
      <w:pPr>
        <w:pStyle w:val="10"/>
        <w:tabs>
          <w:tab w:val="right" w:leader="dot" w:pos="9432"/>
        </w:tabs>
        <w:spacing w:before="60" w:after="60"/>
        <w:rPr>
          <w:rFonts w:eastAsiaTheme="minorEastAsia"/>
        </w:rPr>
      </w:pPr>
      <w:r>
        <w:rPr>
          <w:b/>
        </w:rPr>
        <w:t xml:space="preserve">3. </w:t>
      </w:r>
      <w:r w:rsidR="009C6B48" w:rsidRPr="009C6B48">
        <w:rPr>
          <w:b/>
        </w:rPr>
        <w:t>VQML®-Enabled QoE Assurance and XCAL Use Cases</w:t>
      </w:r>
      <w:r>
        <w:rPr>
          <w:b/>
        </w:rPr>
        <w:tab/>
        <w:t>1</w:t>
      </w:r>
      <w:r w:rsidR="009C6B48">
        <w:rPr>
          <w:rFonts w:eastAsiaTheme="minorEastAsia" w:hint="eastAsia"/>
          <w:b/>
        </w:rPr>
        <w:t>1</w:t>
      </w:r>
    </w:p>
    <w:p w14:paraId="4606C11C" w14:textId="794BC2E5" w:rsidR="00CB1DC7" w:rsidRPr="009C6B48" w:rsidRDefault="00000000">
      <w:pPr>
        <w:pStyle w:val="20"/>
        <w:tabs>
          <w:tab w:val="right" w:leader="dot" w:pos="9432"/>
        </w:tabs>
        <w:spacing w:after="20"/>
        <w:rPr>
          <w:rFonts w:eastAsiaTheme="minorEastAsia"/>
        </w:rPr>
      </w:pPr>
      <w:r>
        <w:t xml:space="preserve">3.1 From Network KPIs to User-Perceived </w:t>
      </w:r>
      <w:proofErr w:type="spellStart"/>
      <w:r>
        <w:t>QoE</w:t>
      </w:r>
      <w:proofErr w:type="spellEnd"/>
      <w:r>
        <w:tab/>
        <w:t>1</w:t>
      </w:r>
      <w:r w:rsidR="009C6B48">
        <w:rPr>
          <w:rFonts w:eastAsiaTheme="minorEastAsia" w:hint="eastAsia"/>
        </w:rPr>
        <w:t>1</w:t>
      </w:r>
    </w:p>
    <w:p w14:paraId="0C2B3B26" w14:textId="6752F2AE" w:rsidR="00CB1DC7" w:rsidRPr="009C6B48" w:rsidRDefault="00000000">
      <w:pPr>
        <w:pStyle w:val="20"/>
        <w:tabs>
          <w:tab w:val="right" w:leader="dot" w:pos="9432"/>
        </w:tabs>
        <w:spacing w:after="20"/>
        <w:rPr>
          <w:rFonts w:eastAsiaTheme="minorEastAsia"/>
        </w:rPr>
      </w:pPr>
      <w:r>
        <w:t>3.2 Greater Interpretability through XCAL Integration</w:t>
      </w:r>
      <w:r>
        <w:tab/>
        <w:t>1</w:t>
      </w:r>
      <w:r w:rsidR="009C6B48">
        <w:rPr>
          <w:rFonts w:eastAsiaTheme="minorEastAsia" w:hint="eastAsia"/>
        </w:rPr>
        <w:t>1</w:t>
      </w:r>
    </w:p>
    <w:p w14:paraId="41B19ED0" w14:textId="20FAC85B" w:rsidR="00753360" w:rsidRPr="009C6B48" w:rsidRDefault="00000000" w:rsidP="00753360">
      <w:pPr>
        <w:pStyle w:val="20"/>
        <w:tabs>
          <w:tab w:val="right" w:leader="dot" w:pos="9432"/>
        </w:tabs>
        <w:spacing w:after="20"/>
        <w:rPr>
          <w:rFonts w:eastAsiaTheme="minorEastAsia"/>
        </w:rPr>
      </w:pPr>
      <w:r>
        <w:t>3.3 Representative XCAL Use Cases</w:t>
      </w:r>
      <w:r>
        <w:tab/>
        <w:t>1</w:t>
      </w:r>
      <w:r w:rsidR="009C6B48">
        <w:rPr>
          <w:rFonts w:eastAsiaTheme="minorEastAsia" w:hint="eastAsia"/>
        </w:rPr>
        <w:t>1</w:t>
      </w:r>
    </w:p>
    <w:p w14:paraId="412EF01A" w14:textId="071486D9" w:rsidR="00753360" w:rsidRPr="009132DC" w:rsidRDefault="00753360" w:rsidP="00753360">
      <w:pPr>
        <w:pStyle w:val="20"/>
        <w:tabs>
          <w:tab w:val="right" w:leader="dot" w:pos="9432"/>
        </w:tabs>
        <w:spacing w:after="20"/>
        <w:rPr>
          <w:rFonts w:eastAsiaTheme="minorEastAsia"/>
        </w:rPr>
      </w:pPr>
      <w:r>
        <w:t>3.</w:t>
      </w:r>
      <w:r>
        <w:rPr>
          <w:rFonts w:eastAsiaTheme="minorEastAsia" w:hint="eastAsia"/>
        </w:rPr>
        <w:t>4</w:t>
      </w:r>
      <w:r>
        <w:t xml:space="preserve"> </w:t>
      </w:r>
      <w:r w:rsidR="009C6B48" w:rsidRPr="009C6B48">
        <w:t>Deployment Configurations and Commercialization Roadmap</w:t>
      </w:r>
      <w:r>
        <w:tab/>
        <w:t>1</w:t>
      </w:r>
      <w:r w:rsidR="009132DC">
        <w:rPr>
          <w:rFonts w:eastAsiaTheme="minorEastAsia" w:hint="eastAsia"/>
        </w:rPr>
        <w:t>3</w:t>
      </w:r>
    </w:p>
    <w:p w14:paraId="27CC10C6" w14:textId="0CA0B8D1" w:rsidR="00CB1DC7" w:rsidRPr="009C6B48" w:rsidRDefault="00000000">
      <w:pPr>
        <w:pStyle w:val="10"/>
        <w:tabs>
          <w:tab w:val="right" w:leader="dot" w:pos="9432"/>
        </w:tabs>
        <w:spacing w:before="60" w:after="60"/>
        <w:rPr>
          <w:rFonts w:eastAsiaTheme="minorEastAsia"/>
        </w:rPr>
      </w:pPr>
      <w:r>
        <w:rPr>
          <w:b/>
        </w:rPr>
        <w:t>4. Conclusion</w:t>
      </w:r>
      <w:r>
        <w:rPr>
          <w:b/>
        </w:rPr>
        <w:tab/>
        <w:t>1</w:t>
      </w:r>
      <w:r w:rsidR="009C6B48">
        <w:rPr>
          <w:rFonts w:eastAsiaTheme="minorEastAsia" w:hint="eastAsia"/>
          <w:b/>
        </w:rPr>
        <w:t>4</w:t>
      </w:r>
    </w:p>
    <w:p w14:paraId="5AAC31CD" w14:textId="51623F1A" w:rsidR="00CB1DC7" w:rsidRPr="009C6B48" w:rsidRDefault="00000000">
      <w:pPr>
        <w:pStyle w:val="10"/>
        <w:tabs>
          <w:tab w:val="right" w:leader="dot" w:pos="9432"/>
        </w:tabs>
        <w:spacing w:before="60" w:after="60"/>
        <w:rPr>
          <w:rFonts w:eastAsiaTheme="minorEastAsia"/>
        </w:rPr>
      </w:pPr>
      <w:r>
        <w:rPr>
          <w:b/>
        </w:rPr>
        <w:t>Selected Standards and Technical References</w:t>
      </w:r>
      <w:r>
        <w:rPr>
          <w:b/>
        </w:rPr>
        <w:tab/>
        <w:t>1</w:t>
      </w:r>
      <w:r w:rsidR="009C6B48">
        <w:rPr>
          <w:rFonts w:eastAsiaTheme="minorEastAsia" w:hint="eastAsia"/>
          <w:b/>
        </w:rPr>
        <w:t>5</w:t>
      </w:r>
    </w:p>
    <w:p w14:paraId="1AFF7651" w14:textId="5F60D755" w:rsidR="00CB1DC7" w:rsidRPr="009C6B48" w:rsidRDefault="00000000">
      <w:pPr>
        <w:pStyle w:val="10"/>
        <w:tabs>
          <w:tab w:val="right" w:leader="dot" w:pos="9432"/>
        </w:tabs>
        <w:spacing w:before="60" w:after="60"/>
        <w:rPr>
          <w:rFonts w:eastAsiaTheme="minorEastAsia"/>
        </w:rPr>
      </w:pPr>
      <w:r>
        <w:rPr>
          <w:b/>
        </w:rPr>
        <w:t>About LIG Accuver</w:t>
      </w:r>
      <w:r>
        <w:rPr>
          <w:b/>
        </w:rPr>
        <w:tab/>
        <w:t>1</w:t>
      </w:r>
      <w:r w:rsidR="009C6B48">
        <w:rPr>
          <w:rFonts w:eastAsiaTheme="minorEastAsia" w:hint="eastAsia"/>
          <w:b/>
        </w:rPr>
        <w:t>5</w:t>
      </w:r>
    </w:p>
    <w:p w14:paraId="556ACA08" w14:textId="77777777" w:rsidR="00CB1DC7" w:rsidRDefault="00000000">
      <w:r>
        <w:br w:type="page"/>
      </w:r>
    </w:p>
    <w:p w14:paraId="7CD56F1E" w14:textId="77777777" w:rsidR="00CB1DC7" w:rsidRDefault="00000000">
      <w:pPr>
        <w:pStyle w:val="1"/>
        <w:spacing w:before="200" w:after="200"/>
      </w:pPr>
      <w:r>
        <w:rPr>
          <w:rFonts w:ascii="Arial" w:eastAsia="Arial" w:hAnsi="Arial"/>
        </w:rPr>
        <w:lastRenderedPageBreak/>
        <w:t>Executive Summary</w:t>
      </w:r>
    </w:p>
    <w:p w14:paraId="2314C66A" w14:textId="77777777" w:rsidR="00CB1DC7" w:rsidRDefault="00000000">
      <w:pPr>
        <w:widowControl/>
      </w:pPr>
      <w:r>
        <w:rPr>
          <w:color w:val="222222"/>
        </w:rPr>
        <w:t>Video has become one of the clearest indicators of mobile network performance. Users judge service quality through playback continuity, visual clarity, synchronization, and responsiveness—not through radio and transport metrics alone. As operators move toward 5G Standalone and future 6G architectures, assurance must connect network KPIs with application-level Quality of Experience (</w:t>
      </w:r>
      <w:proofErr w:type="spellStart"/>
      <w:r>
        <w:rPr>
          <w:color w:val="222222"/>
        </w:rPr>
        <w:t>QoE</w:t>
      </w:r>
      <w:proofErr w:type="spellEnd"/>
      <w:r>
        <w:rPr>
          <w:color w:val="222222"/>
        </w:rPr>
        <w:t>).</w:t>
      </w:r>
    </w:p>
    <w:p w14:paraId="6F0C955D" w14:textId="7B1C7A76" w:rsidR="00CB1DC7" w:rsidRPr="000718AD" w:rsidRDefault="00000000">
      <w:pPr>
        <w:widowControl/>
        <w:rPr>
          <w:rFonts w:eastAsiaTheme="minorEastAsia"/>
        </w:rPr>
      </w:pPr>
      <w:r>
        <w:rPr>
          <w:color w:val="222222"/>
        </w:rPr>
        <w:t xml:space="preserve">LIG </w:t>
      </w:r>
      <w:proofErr w:type="spellStart"/>
      <w:r>
        <w:rPr>
          <w:color w:val="222222"/>
        </w:rPr>
        <w:t>Accuver’s</w:t>
      </w:r>
      <w:proofErr w:type="spellEnd"/>
      <w:r>
        <w:rPr>
          <w:color w:val="222222"/>
        </w:rPr>
        <w:t xml:space="preserve"> VQML® estimates human-perceived video quality directly from received RGB frames without the original source, transmission metadata, or manual subjective testing. Integrated with XCAL, it enables real-time and session-level MOS estimation in laboratory, field, device, and live-service environments.</w:t>
      </w:r>
    </w:p>
    <w:p w14:paraId="50CB0E37" w14:textId="77777777" w:rsidR="00CB1DC7" w:rsidRDefault="00000000">
      <w:pPr>
        <w:widowControl/>
      </w:pPr>
      <w:r>
        <w:rPr>
          <w:color w:val="222222"/>
        </w:rPr>
        <w:t>Adopted as Model A in the approved ITU-T J.344 framework, VQML® combines content, signal, perceptual, and device-aware analysis. XCAL can correlate the predicted MOS with radio and protocol logs to help identify likely factors associated with service degradation.</w:t>
      </w:r>
    </w:p>
    <w:p w14:paraId="43B3010D" w14:textId="77777777" w:rsidR="00CB1DC7" w:rsidRDefault="00000000">
      <w:pPr>
        <w:pStyle w:val="1"/>
        <w:pageBreakBefore/>
        <w:spacing w:before="200" w:after="200"/>
      </w:pPr>
      <w:r>
        <w:rPr>
          <w:rFonts w:ascii="Arial" w:eastAsia="Arial" w:hAnsi="Arial"/>
        </w:rPr>
        <w:lastRenderedPageBreak/>
        <w:t>1. ITU-T Video Quality Assessment Standardization Trends</w:t>
      </w:r>
    </w:p>
    <w:p w14:paraId="453C2750" w14:textId="77777777" w:rsidR="00CB1DC7" w:rsidRDefault="00000000">
      <w:pPr>
        <w:pStyle w:val="2"/>
        <w:spacing w:before="200" w:after="100"/>
      </w:pPr>
      <w:r>
        <w:rPr>
          <w:rFonts w:ascii="Arial" w:eastAsia="Arial" w:hAnsi="Arial"/>
        </w:rPr>
        <w:t xml:space="preserve">1.1 Role of ITU-T SG12 in QoS and </w:t>
      </w:r>
      <w:proofErr w:type="spellStart"/>
      <w:r>
        <w:rPr>
          <w:rFonts w:ascii="Arial" w:eastAsia="Arial" w:hAnsi="Arial"/>
        </w:rPr>
        <w:t>QoE</w:t>
      </w:r>
      <w:proofErr w:type="spellEnd"/>
      <w:r>
        <w:rPr>
          <w:rFonts w:ascii="Arial" w:eastAsia="Arial" w:hAnsi="Arial"/>
        </w:rPr>
        <w:t xml:space="preserve"> Standardization</w:t>
      </w:r>
    </w:p>
    <w:p w14:paraId="2FBD0EDE" w14:textId="77777777" w:rsidR="00CB1DC7" w:rsidRDefault="00000000">
      <w:pPr>
        <w:widowControl/>
      </w:pPr>
      <w:r>
        <w:rPr>
          <w:color w:val="222222"/>
        </w:rPr>
        <w:t>ITU-T Study Group 12 (SG12) is the ITU-T study group responsible for performance, Quality of Service (QoS), and Quality of Experience (</w:t>
      </w:r>
      <w:proofErr w:type="spellStart"/>
      <w:r>
        <w:rPr>
          <w:color w:val="222222"/>
        </w:rPr>
        <w:t>QoE</w:t>
      </w:r>
      <w:proofErr w:type="spellEnd"/>
      <w:r>
        <w:rPr>
          <w:color w:val="222222"/>
        </w:rPr>
        <w:t>). Its work covers network performance, speech and audio quality, multimedia services, and subjective and objective quality assessment methodologies.</w:t>
      </w:r>
    </w:p>
    <w:p w14:paraId="02F01638" w14:textId="77777777" w:rsidR="00CB1DC7" w:rsidRDefault="00000000">
      <w:pPr>
        <w:widowControl/>
      </w:pPr>
      <w:r>
        <w:rPr>
          <w:color w:val="222222"/>
        </w:rPr>
        <w:t>For video services, SG12 recommendations provide a common technical foundation for measuring how coding, transmission, capture devices, displays, and application behavior affect perceived quality. These methods are used by telecom operators, network equipment vendors, device manufacturers, service providers, regulatory authorities, and research laboratories.</w:t>
      </w:r>
    </w:p>
    <w:p w14:paraId="4F912554" w14:textId="77777777" w:rsidR="00CB1DC7" w:rsidRDefault="00000000">
      <w:pPr>
        <w:widowControl/>
      </w:pPr>
      <w:r>
        <w:rPr>
          <w:color w:val="222222"/>
        </w:rPr>
        <w:t>The role of perceptual assessment is becoming more important as 5G SA and future 6G networks introduce network slicing, private networks, mission-critical communications, and application-specific Service-Level Agreements (SLAs). Radio metrics such as signal strength, throughput, latency, and packet loss remain essential, but they must be supplemented with measurements of the service experience delivered to the user.</w:t>
      </w:r>
    </w:p>
    <w:p w14:paraId="0E51F032" w14:textId="77777777" w:rsidR="00CB1DC7" w:rsidRDefault="00000000">
      <w:pPr>
        <w:pStyle w:val="2"/>
        <w:spacing w:before="200" w:after="100"/>
      </w:pPr>
      <w:r>
        <w:rPr>
          <w:rFonts w:ascii="Arial" w:eastAsia="Arial" w:hAnsi="Arial"/>
        </w:rPr>
        <w:t>1.2 J Series and P Series: Complementary Perspectives</w:t>
      </w:r>
    </w:p>
    <w:p w14:paraId="78786F20" w14:textId="77777777" w:rsidR="00CB1DC7" w:rsidRDefault="00000000">
      <w:pPr>
        <w:widowControl/>
      </w:pPr>
      <w:r>
        <w:rPr>
          <w:color w:val="222222"/>
        </w:rPr>
        <w:t>Two ITU-T recommendation series are especially relevant to video quality assessment:</w:t>
      </w:r>
    </w:p>
    <w:tbl>
      <w:tblPr>
        <w:tblW w:w="0" w:type="auto"/>
        <w:jc w:val="center"/>
        <w:tblLayout w:type="fixed"/>
        <w:tblLook w:val="04A0" w:firstRow="1" w:lastRow="0" w:firstColumn="1" w:lastColumn="0" w:noHBand="0" w:noVBand="1"/>
      </w:tblPr>
      <w:tblGrid>
        <w:gridCol w:w="1440"/>
        <w:gridCol w:w="2232"/>
        <w:gridCol w:w="3528"/>
        <w:gridCol w:w="2232"/>
      </w:tblGrid>
      <w:tr w:rsidR="00CB1DC7" w14:paraId="3C7A7566" w14:textId="77777777">
        <w:trPr>
          <w:cantSplit/>
          <w:tblHeader/>
          <w:jc w:val="center"/>
        </w:trPr>
        <w:tc>
          <w:tcPr>
            <w:tcW w:w="1440" w:type="dxa"/>
            <w:tcBorders>
              <w:top w:val="single" w:sz="4" w:space="0" w:color="B7B7B7"/>
              <w:left w:val="single" w:sz="4" w:space="0" w:color="B7B7B7"/>
              <w:bottom w:val="single" w:sz="4" w:space="0" w:color="B7B7B7"/>
              <w:right w:val="single" w:sz="4" w:space="0" w:color="B7B7B7"/>
            </w:tcBorders>
            <w:shd w:val="clear" w:color="auto" w:fill="E7E6E6"/>
            <w:tcMar>
              <w:top w:w="70" w:type="dxa"/>
              <w:left w:w="65" w:type="dxa"/>
              <w:bottom w:w="70" w:type="dxa"/>
              <w:right w:w="65" w:type="dxa"/>
            </w:tcMar>
            <w:vAlign w:val="center"/>
          </w:tcPr>
          <w:p w14:paraId="3F4C0AF9" w14:textId="77777777" w:rsidR="00CB1DC7" w:rsidRPr="00725F3F" w:rsidRDefault="00000000">
            <w:pPr>
              <w:widowControl/>
              <w:spacing w:after="0" w:line="240" w:lineRule="auto"/>
              <w:jc w:val="left"/>
              <w:rPr>
                <w:sz w:val="16"/>
                <w:szCs w:val="16"/>
              </w:rPr>
            </w:pPr>
            <w:r w:rsidRPr="00725F3F">
              <w:rPr>
                <w:b/>
                <w:color w:val="124191"/>
                <w:sz w:val="16"/>
                <w:szCs w:val="16"/>
              </w:rPr>
              <w:t>Standard Series</w:t>
            </w:r>
          </w:p>
        </w:tc>
        <w:tc>
          <w:tcPr>
            <w:tcW w:w="2232" w:type="dxa"/>
            <w:tcBorders>
              <w:top w:val="single" w:sz="4" w:space="0" w:color="B7B7B7"/>
              <w:left w:val="single" w:sz="4" w:space="0" w:color="B7B7B7"/>
              <w:bottom w:val="single" w:sz="4" w:space="0" w:color="B7B7B7"/>
              <w:right w:val="single" w:sz="4" w:space="0" w:color="B7B7B7"/>
            </w:tcBorders>
            <w:shd w:val="clear" w:color="auto" w:fill="E7E6E6"/>
            <w:tcMar>
              <w:top w:w="70" w:type="dxa"/>
              <w:left w:w="65" w:type="dxa"/>
              <w:bottom w:w="70" w:type="dxa"/>
              <w:right w:w="65" w:type="dxa"/>
            </w:tcMar>
            <w:vAlign w:val="center"/>
          </w:tcPr>
          <w:p w14:paraId="634DBF1B" w14:textId="77777777" w:rsidR="00CB1DC7" w:rsidRPr="00725F3F" w:rsidRDefault="00000000">
            <w:pPr>
              <w:widowControl/>
              <w:spacing w:after="0" w:line="240" w:lineRule="auto"/>
              <w:jc w:val="left"/>
              <w:rPr>
                <w:sz w:val="16"/>
                <w:szCs w:val="16"/>
              </w:rPr>
            </w:pPr>
            <w:r w:rsidRPr="00725F3F">
              <w:rPr>
                <w:b/>
                <w:color w:val="124191"/>
                <w:sz w:val="16"/>
                <w:szCs w:val="16"/>
              </w:rPr>
              <w:t>Primary Focus</w:t>
            </w:r>
          </w:p>
        </w:tc>
        <w:tc>
          <w:tcPr>
            <w:tcW w:w="3528" w:type="dxa"/>
            <w:tcBorders>
              <w:top w:val="single" w:sz="4" w:space="0" w:color="B7B7B7"/>
              <w:left w:val="single" w:sz="4" w:space="0" w:color="B7B7B7"/>
              <w:bottom w:val="single" w:sz="4" w:space="0" w:color="B7B7B7"/>
              <w:right w:val="single" w:sz="4" w:space="0" w:color="B7B7B7"/>
            </w:tcBorders>
            <w:shd w:val="clear" w:color="auto" w:fill="E7E6E6"/>
            <w:tcMar>
              <w:top w:w="70" w:type="dxa"/>
              <w:left w:w="65" w:type="dxa"/>
              <w:bottom w:w="70" w:type="dxa"/>
              <w:right w:w="65" w:type="dxa"/>
            </w:tcMar>
            <w:vAlign w:val="center"/>
          </w:tcPr>
          <w:p w14:paraId="38A9680B" w14:textId="77777777" w:rsidR="00CB1DC7" w:rsidRPr="00725F3F" w:rsidRDefault="00000000">
            <w:pPr>
              <w:widowControl/>
              <w:spacing w:after="0" w:line="240" w:lineRule="auto"/>
              <w:jc w:val="left"/>
              <w:rPr>
                <w:sz w:val="16"/>
                <w:szCs w:val="16"/>
              </w:rPr>
            </w:pPr>
            <w:r w:rsidRPr="00725F3F">
              <w:rPr>
                <w:b/>
                <w:color w:val="124191"/>
                <w:sz w:val="16"/>
                <w:szCs w:val="16"/>
              </w:rPr>
              <w:t>Practical Meaning</w:t>
            </w:r>
          </w:p>
        </w:tc>
        <w:tc>
          <w:tcPr>
            <w:tcW w:w="2232" w:type="dxa"/>
            <w:tcBorders>
              <w:top w:val="single" w:sz="4" w:space="0" w:color="B7B7B7"/>
              <w:left w:val="single" w:sz="4" w:space="0" w:color="B7B7B7"/>
              <w:bottom w:val="single" w:sz="4" w:space="0" w:color="B7B7B7"/>
              <w:right w:val="single" w:sz="4" w:space="0" w:color="B7B7B7"/>
            </w:tcBorders>
            <w:shd w:val="clear" w:color="auto" w:fill="E7E6E6"/>
            <w:tcMar>
              <w:top w:w="70" w:type="dxa"/>
              <w:left w:w="65" w:type="dxa"/>
              <w:bottom w:w="70" w:type="dxa"/>
              <w:right w:w="65" w:type="dxa"/>
            </w:tcMar>
            <w:vAlign w:val="center"/>
          </w:tcPr>
          <w:p w14:paraId="560943CA" w14:textId="77777777" w:rsidR="00CB1DC7" w:rsidRPr="00725F3F" w:rsidRDefault="00000000">
            <w:pPr>
              <w:widowControl/>
              <w:spacing w:after="0" w:line="240" w:lineRule="auto"/>
              <w:jc w:val="left"/>
              <w:rPr>
                <w:sz w:val="16"/>
                <w:szCs w:val="16"/>
              </w:rPr>
            </w:pPr>
            <w:r w:rsidRPr="00725F3F">
              <w:rPr>
                <w:b/>
                <w:color w:val="124191"/>
                <w:sz w:val="16"/>
                <w:szCs w:val="16"/>
              </w:rPr>
              <w:t>Representative Examples</w:t>
            </w:r>
          </w:p>
        </w:tc>
      </w:tr>
      <w:tr w:rsidR="00CB1DC7" w14:paraId="00E663CF" w14:textId="77777777">
        <w:trPr>
          <w:cantSplit/>
          <w:jc w:val="center"/>
        </w:trPr>
        <w:tc>
          <w:tcPr>
            <w:tcW w:w="1440" w:type="dxa"/>
            <w:tcBorders>
              <w:top w:val="single" w:sz="4" w:space="0" w:color="B7B7B7"/>
              <w:left w:val="single" w:sz="4" w:space="0" w:color="B7B7B7"/>
              <w:bottom w:val="single" w:sz="4" w:space="0" w:color="B7B7B7"/>
              <w:right w:val="single" w:sz="4" w:space="0" w:color="B7B7B7"/>
            </w:tcBorders>
            <w:tcMar>
              <w:top w:w="70" w:type="dxa"/>
              <w:left w:w="65" w:type="dxa"/>
              <w:bottom w:w="70" w:type="dxa"/>
              <w:right w:w="65" w:type="dxa"/>
            </w:tcMar>
            <w:vAlign w:val="center"/>
          </w:tcPr>
          <w:p w14:paraId="40F69BCD" w14:textId="77777777" w:rsidR="00CB1DC7" w:rsidRPr="00725F3F" w:rsidRDefault="00000000">
            <w:pPr>
              <w:widowControl/>
              <w:spacing w:after="0" w:line="240" w:lineRule="auto"/>
              <w:jc w:val="left"/>
              <w:rPr>
                <w:sz w:val="16"/>
                <w:szCs w:val="16"/>
              </w:rPr>
            </w:pPr>
            <w:r w:rsidRPr="00725F3F">
              <w:rPr>
                <w:color w:val="222222"/>
                <w:sz w:val="16"/>
                <w:szCs w:val="16"/>
              </w:rPr>
              <w:t>J Series</w:t>
            </w:r>
          </w:p>
        </w:tc>
        <w:tc>
          <w:tcPr>
            <w:tcW w:w="2232" w:type="dxa"/>
            <w:tcBorders>
              <w:top w:val="single" w:sz="4" w:space="0" w:color="B7B7B7"/>
              <w:left w:val="single" w:sz="4" w:space="0" w:color="B7B7B7"/>
              <w:bottom w:val="single" w:sz="4" w:space="0" w:color="B7B7B7"/>
              <w:right w:val="single" w:sz="4" w:space="0" w:color="B7B7B7"/>
            </w:tcBorders>
            <w:tcMar>
              <w:top w:w="70" w:type="dxa"/>
              <w:left w:w="65" w:type="dxa"/>
              <w:bottom w:w="70" w:type="dxa"/>
              <w:right w:w="65" w:type="dxa"/>
            </w:tcMar>
            <w:vAlign w:val="center"/>
          </w:tcPr>
          <w:p w14:paraId="4FC3E7D4" w14:textId="77777777" w:rsidR="00CB1DC7" w:rsidRPr="00725F3F" w:rsidRDefault="00000000">
            <w:pPr>
              <w:widowControl/>
              <w:spacing w:after="0" w:line="240" w:lineRule="auto"/>
              <w:jc w:val="left"/>
              <w:rPr>
                <w:sz w:val="16"/>
                <w:szCs w:val="16"/>
              </w:rPr>
            </w:pPr>
            <w:r w:rsidRPr="00725F3F">
              <w:rPr>
                <w:color w:val="222222"/>
                <w:sz w:val="16"/>
                <w:szCs w:val="16"/>
              </w:rPr>
              <w:t>Perceptual video-signal quality for television, broadcasting, cable, and multimedia transmission</w:t>
            </w:r>
          </w:p>
        </w:tc>
        <w:tc>
          <w:tcPr>
            <w:tcW w:w="3528" w:type="dxa"/>
            <w:tcBorders>
              <w:top w:val="single" w:sz="4" w:space="0" w:color="B7B7B7"/>
              <w:left w:val="single" w:sz="4" w:space="0" w:color="B7B7B7"/>
              <w:bottom w:val="single" w:sz="4" w:space="0" w:color="B7B7B7"/>
              <w:right w:val="single" w:sz="4" w:space="0" w:color="B7B7B7"/>
            </w:tcBorders>
            <w:tcMar>
              <w:top w:w="70" w:type="dxa"/>
              <w:left w:w="65" w:type="dxa"/>
              <w:bottom w:w="70" w:type="dxa"/>
              <w:right w:w="65" w:type="dxa"/>
            </w:tcMar>
            <w:vAlign w:val="center"/>
          </w:tcPr>
          <w:p w14:paraId="29A1A07C" w14:textId="77777777" w:rsidR="00CB1DC7" w:rsidRPr="00725F3F" w:rsidRDefault="00000000">
            <w:pPr>
              <w:widowControl/>
              <w:spacing w:after="0" w:line="240" w:lineRule="auto"/>
              <w:jc w:val="left"/>
              <w:rPr>
                <w:sz w:val="16"/>
                <w:szCs w:val="16"/>
              </w:rPr>
            </w:pPr>
            <w:r w:rsidRPr="00725F3F">
              <w:rPr>
                <w:color w:val="222222"/>
                <w:sz w:val="16"/>
                <w:szCs w:val="16"/>
              </w:rPr>
              <w:t>Measures visual degradation caused by coding, processing, cameras, and transmission. Includes full-reference, reduced-reference, and no-reference approaches.</w:t>
            </w:r>
          </w:p>
        </w:tc>
        <w:tc>
          <w:tcPr>
            <w:tcW w:w="2232" w:type="dxa"/>
            <w:tcBorders>
              <w:top w:val="single" w:sz="4" w:space="0" w:color="B7B7B7"/>
              <w:left w:val="single" w:sz="4" w:space="0" w:color="B7B7B7"/>
              <w:bottom w:val="single" w:sz="4" w:space="0" w:color="B7B7B7"/>
              <w:right w:val="single" w:sz="4" w:space="0" w:color="B7B7B7"/>
            </w:tcBorders>
            <w:tcMar>
              <w:top w:w="70" w:type="dxa"/>
              <w:left w:w="65" w:type="dxa"/>
              <w:bottom w:w="70" w:type="dxa"/>
              <w:right w:w="65" w:type="dxa"/>
            </w:tcMar>
            <w:vAlign w:val="center"/>
          </w:tcPr>
          <w:p w14:paraId="3896812D" w14:textId="77777777" w:rsidR="00CB1DC7" w:rsidRPr="00725F3F" w:rsidRDefault="00000000">
            <w:pPr>
              <w:widowControl/>
              <w:spacing w:after="0" w:line="240" w:lineRule="auto"/>
              <w:jc w:val="left"/>
              <w:rPr>
                <w:sz w:val="16"/>
                <w:szCs w:val="16"/>
              </w:rPr>
            </w:pPr>
            <w:r w:rsidRPr="00725F3F">
              <w:rPr>
                <w:color w:val="222222"/>
                <w:sz w:val="16"/>
                <w:szCs w:val="16"/>
              </w:rPr>
              <w:t>J.144, J.246, J.343 series, J.344 series</w:t>
            </w:r>
          </w:p>
        </w:tc>
      </w:tr>
      <w:tr w:rsidR="00CB1DC7" w14:paraId="49F18E67" w14:textId="77777777">
        <w:trPr>
          <w:cantSplit/>
          <w:jc w:val="center"/>
        </w:trPr>
        <w:tc>
          <w:tcPr>
            <w:tcW w:w="1440" w:type="dxa"/>
            <w:tcBorders>
              <w:top w:val="single" w:sz="4" w:space="0" w:color="B7B7B7"/>
              <w:left w:val="single" w:sz="4" w:space="0" w:color="B7B7B7"/>
              <w:bottom w:val="single" w:sz="12" w:space="0" w:color="124191"/>
              <w:right w:val="single" w:sz="4" w:space="0" w:color="B7B7B7"/>
            </w:tcBorders>
            <w:shd w:val="clear" w:color="auto" w:fill="F7F9FB"/>
            <w:tcMar>
              <w:top w:w="70" w:type="dxa"/>
              <w:left w:w="65" w:type="dxa"/>
              <w:bottom w:w="70" w:type="dxa"/>
              <w:right w:w="65" w:type="dxa"/>
            </w:tcMar>
            <w:vAlign w:val="center"/>
          </w:tcPr>
          <w:p w14:paraId="218FA21D" w14:textId="77777777" w:rsidR="00CB1DC7" w:rsidRPr="00725F3F" w:rsidRDefault="00000000">
            <w:pPr>
              <w:widowControl/>
              <w:spacing w:after="0" w:line="240" w:lineRule="auto"/>
              <w:jc w:val="left"/>
              <w:rPr>
                <w:sz w:val="16"/>
                <w:szCs w:val="16"/>
              </w:rPr>
            </w:pPr>
            <w:r w:rsidRPr="00725F3F">
              <w:rPr>
                <w:color w:val="222222"/>
                <w:sz w:val="16"/>
                <w:szCs w:val="16"/>
              </w:rPr>
              <w:t>P Series</w:t>
            </w:r>
          </w:p>
        </w:tc>
        <w:tc>
          <w:tcPr>
            <w:tcW w:w="2232" w:type="dxa"/>
            <w:tcBorders>
              <w:top w:val="single" w:sz="4" w:space="0" w:color="B7B7B7"/>
              <w:left w:val="single" w:sz="4" w:space="0" w:color="B7B7B7"/>
              <w:bottom w:val="single" w:sz="12" w:space="0" w:color="124191"/>
              <w:right w:val="single" w:sz="4" w:space="0" w:color="B7B7B7"/>
            </w:tcBorders>
            <w:shd w:val="clear" w:color="auto" w:fill="F7F9FB"/>
            <w:tcMar>
              <w:top w:w="70" w:type="dxa"/>
              <w:left w:w="65" w:type="dxa"/>
              <w:bottom w:w="70" w:type="dxa"/>
              <w:right w:w="65" w:type="dxa"/>
            </w:tcMar>
            <w:vAlign w:val="center"/>
          </w:tcPr>
          <w:p w14:paraId="1E4B08EE" w14:textId="77777777" w:rsidR="00CB1DC7" w:rsidRPr="00725F3F" w:rsidRDefault="00000000">
            <w:pPr>
              <w:widowControl/>
              <w:spacing w:after="0" w:line="240" w:lineRule="auto"/>
              <w:jc w:val="left"/>
              <w:rPr>
                <w:sz w:val="16"/>
                <w:szCs w:val="16"/>
              </w:rPr>
            </w:pPr>
            <w:r w:rsidRPr="00725F3F">
              <w:rPr>
                <w:color w:val="222222"/>
                <w:sz w:val="16"/>
                <w:szCs w:val="16"/>
              </w:rPr>
              <w:t xml:space="preserve">Subjective and objective assessment of communication-media quality and end-user </w:t>
            </w:r>
            <w:proofErr w:type="spellStart"/>
            <w:r w:rsidRPr="00725F3F">
              <w:rPr>
                <w:color w:val="222222"/>
                <w:sz w:val="16"/>
                <w:szCs w:val="16"/>
              </w:rPr>
              <w:t>QoE</w:t>
            </w:r>
            <w:proofErr w:type="spellEnd"/>
          </w:p>
        </w:tc>
        <w:tc>
          <w:tcPr>
            <w:tcW w:w="3528" w:type="dxa"/>
            <w:tcBorders>
              <w:top w:val="single" w:sz="4" w:space="0" w:color="B7B7B7"/>
              <w:left w:val="single" w:sz="4" w:space="0" w:color="B7B7B7"/>
              <w:bottom w:val="single" w:sz="12" w:space="0" w:color="124191"/>
              <w:right w:val="single" w:sz="4" w:space="0" w:color="B7B7B7"/>
            </w:tcBorders>
            <w:shd w:val="clear" w:color="auto" w:fill="F7F9FB"/>
            <w:tcMar>
              <w:top w:w="70" w:type="dxa"/>
              <w:left w:w="65" w:type="dxa"/>
              <w:bottom w:w="70" w:type="dxa"/>
              <w:right w:w="65" w:type="dxa"/>
            </w:tcMar>
            <w:vAlign w:val="center"/>
          </w:tcPr>
          <w:p w14:paraId="3FA261FF" w14:textId="77777777" w:rsidR="00CB1DC7" w:rsidRPr="00725F3F" w:rsidRDefault="00000000">
            <w:pPr>
              <w:widowControl/>
              <w:spacing w:after="0" w:line="240" w:lineRule="auto"/>
              <w:jc w:val="left"/>
              <w:rPr>
                <w:sz w:val="16"/>
                <w:szCs w:val="16"/>
              </w:rPr>
            </w:pPr>
            <w:r w:rsidRPr="00725F3F">
              <w:rPr>
                <w:color w:val="222222"/>
                <w:sz w:val="16"/>
                <w:szCs w:val="16"/>
              </w:rPr>
              <w:t>Addresses terminal- and display-based assessment, audiovisual service quality, streaming quality, and end-user perception.</w:t>
            </w:r>
          </w:p>
        </w:tc>
        <w:tc>
          <w:tcPr>
            <w:tcW w:w="2232" w:type="dxa"/>
            <w:tcBorders>
              <w:top w:val="single" w:sz="4" w:space="0" w:color="B7B7B7"/>
              <w:left w:val="single" w:sz="4" w:space="0" w:color="B7B7B7"/>
              <w:bottom w:val="single" w:sz="12" w:space="0" w:color="124191"/>
              <w:right w:val="single" w:sz="4" w:space="0" w:color="B7B7B7"/>
            </w:tcBorders>
            <w:shd w:val="clear" w:color="auto" w:fill="F7F9FB"/>
            <w:tcMar>
              <w:top w:w="70" w:type="dxa"/>
              <w:left w:w="65" w:type="dxa"/>
              <w:bottom w:w="70" w:type="dxa"/>
              <w:right w:w="65" w:type="dxa"/>
            </w:tcMar>
            <w:vAlign w:val="center"/>
          </w:tcPr>
          <w:p w14:paraId="5396596D" w14:textId="77777777" w:rsidR="00CB1DC7" w:rsidRPr="00725F3F" w:rsidRDefault="00000000">
            <w:pPr>
              <w:widowControl/>
              <w:spacing w:after="0" w:line="240" w:lineRule="auto"/>
              <w:jc w:val="left"/>
              <w:rPr>
                <w:sz w:val="16"/>
                <w:szCs w:val="16"/>
              </w:rPr>
            </w:pPr>
            <w:r w:rsidRPr="00725F3F">
              <w:rPr>
                <w:color w:val="222222"/>
                <w:sz w:val="16"/>
                <w:szCs w:val="16"/>
              </w:rPr>
              <w:t>P.910, P.1204 series</w:t>
            </w:r>
          </w:p>
        </w:tc>
      </w:tr>
    </w:tbl>
    <w:p w14:paraId="52F0DD28" w14:textId="77777777" w:rsidR="00CB1DC7" w:rsidRDefault="00000000">
      <w:pPr>
        <w:spacing w:before="20" w:after="140"/>
        <w:jc w:val="center"/>
      </w:pPr>
      <w:r>
        <w:rPr>
          <w:i/>
          <w:color w:val="666666"/>
          <w:sz w:val="15"/>
        </w:rPr>
        <w:t>Table 1. Complementary roles of the ITU-T J and P series</w:t>
      </w:r>
    </w:p>
    <w:p w14:paraId="7D613C44" w14:textId="77777777" w:rsidR="00CB1DC7" w:rsidRDefault="00000000">
      <w:pPr>
        <w:widowControl/>
      </w:pPr>
      <w:r>
        <w:rPr>
          <w:color w:val="222222"/>
        </w:rPr>
        <w:t xml:space="preserve">In practical terms, the J Series focuses primarily on the perceptual integrity of the received video signal, while the P Series takes a broader view of user-perceived communication-media and service quality. Using both perspectives enables a more complete </w:t>
      </w:r>
      <w:proofErr w:type="spellStart"/>
      <w:r>
        <w:rPr>
          <w:color w:val="222222"/>
        </w:rPr>
        <w:t>QoE</w:t>
      </w:r>
      <w:proofErr w:type="spellEnd"/>
      <w:r>
        <w:rPr>
          <w:color w:val="222222"/>
        </w:rPr>
        <w:t xml:space="preserve"> assurance framework.</w:t>
      </w:r>
    </w:p>
    <w:p w14:paraId="1651FCC2" w14:textId="77777777" w:rsidR="00CB1DC7" w:rsidRDefault="00000000">
      <w:pPr>
        <w:pStyle w:val="2"/>
        <w:spacing w:before="200" w:after="100"/>
      </w:pPr>
      <w:r>
        <w:rPr>
          <w:rFonts w:ascii="Arial" w:eastAsia="Arial" w:hAnsi="Arial"/>
        </w:rPr>
        <w:lastRenderedPageBreak/>
        <w:t>1.3 Full-Reference, Reduced-Reference, and No-Reference Methods</w:t>
      </w:r>
    </w:p>
    <w:p w14:paraId="625A6249" w14:textId="77777777" w:rsidR="00CB1DC7" w:rsidRDefault="00000000">
      <w:pPr>
        <w:widowControl/>
      </w:pPr>
      <w:r>
        <w:rPr>
          <w:color w:val="222222"/>
        </w:rPr>
        <w:t>Video Quality Assessment (VQA) methods are categorized by the amount of information required from the original source signal:</w:t>
      </w:r>
    </w:p>
    <w:tbl>
      <w:tblPr>
        <w:tblW w:w="0" w:type="auto"/>
        <w:jc w:val="center"/>
        <w:tblLayout w:type="fixed"/>
        <w:tblLook w:val="04A0" w:firstRow="1" w:lastRow="0" w:firstColumn="1" w:lastColumn="0" w:noHBand="0" w:noVBand="1"/>
      </w:tblPr>
      <w:tblGrid>
        <w:gridCol w:w="1224"/>
        <w:gridCol w:w="1872"/>
        <w:gridCol w:w="1728"/>
        <w:gridCol w:w="1728"/>
        <w:gridCol w:w="2951"/>
      </w:tblGrid>
      <w:tr w:rsidR="00CB1DC7" w14:paraId="7CAAEABE" w14:textId="77777777">
        <w:trPr>
          <w:cantSplit/>
          <w:tblHeader/>
          <w:jc w:val="center"/>
        </w:trPr>
        <w:tc>
          <w:tcPr>
            <w:tcW w:w="1224" w:type="dxa"/>
            <w:tcBorders>
              <w:top w:val="single" w:sz="4" w:space="0" w:color="B7B7B7"/>
              <w:left w:val="single" w:sz="4" w:space="0" w:color="B7B7B7"/>
              <w:bottom w:val="single" w:sz="4" w:space="0" w:color="B7B7B7"/>
              <w:right w:val="single" w:sz="4" w:space="0" w:color="B7B7B7"/>
            </w:tcBorders>
            <w:shd w:val="clear" w:color="auto" w:fill="E7E6E6"/>
            <w:tcMar>
              <w:top w:w="70" w:type="dxa"/>
              <w:left w:w="65" w:type="dxa"/>
              <w:bottom w:w="70" w:type="dxa"/>
              <w:right w:w="65" w:type="dxa"/>
            </w:tcMar>
            <w:vAlign w:val="center"/>
          </w:tcPr>
          <w:p w14:paraId="4079731F" w14:textId="77777777" w:rsidR="00CB1DC7" w:rsidRPr="00725F3F" w:rsidRDefault="00000000">
            <w:pPr>
              <w:widowControl/>
              <w:spacing w:after="0" w:line="240" w:lineRule="auto"/>
              <w:jc w:val="left"/>
              <w:rPr>
                <w:sz w:val="16"/>
                <w:szCs w:val="16"/>
              </w:rPr>
            </w:pPr>
            <w:r w:rsidRPr="00725F3F">
              <w:rPr>
                <w:b/>
                <w:color w:val="124191"/>
                <w:sz w:val="16"/>
                <w:szCs w:val="16"/>
              </w:rPr>
              <w:t>Method</w:t>
            </w:r>
          </w:p>
        </w:tc>
        <w:tc>
          <w:tcPr>
            <w:tcW w:w="1872" w:type="dxa"/>
            <w:tcBorders>
              <w:top w:val="single" w:sz="4" w:space="0" w:color="B7B7B7"/>
              <w:left w:val="single" w:sz="4" w:space="0" w:color="B7B7B7"/>
              <w:bottom w:val="single" w:sz="4" w:space="0" w:color="B7B7B7"/>
              <w:right w:val="single" w:sz="4" w:space="0" w:color="B7B7B7"/>
            </w:tcBorders>
            <w:shd w:val="clear" w:color="auto" w:fill="E7E6E6"/>
            <w:tcMar>
              <w:top w:w="70" w:type="dxa"/>
              <w:left w:w="65" w:type="dxa"/>
              <w:bottom w:w="70" w:type="dxa"/>
              <w:right w:w="65" w:type="dxa"/>
            </w:tcMar>
            <w:vAlign w:val="center"/>
          </w:tcPr>
          <w:p w14:paraId="0E42359F" w14:textId="77777777" w:rsidR="00CB1DC7" w:rsidRPr="00725F3F" w:rsidRDefault="00000000">
            <w:pPr>
              <w:widowControl/>
              <w:spacing w:after="0" w:line="240" w:lineRule="auto"/>
              <w:jc w:val="left"/>
              <w:rPr>
                <w:sz w:val="16"/>
                <w:szCs w:val="16"/>
              </w:rPr>
            </w:pPr>
            <w:r w:rsidRPr="00725F3F">
              <w:rPr>
                <w:b/>
                <w:color w:val="124191"/>
                <w:sz w:val="16"/>
                <w:szCs w:val="16"/>
              </w:rPr>
              <w:t>Required Input</w:t>
            </w:r>
          </w:p>
        </w:tc>
        <w:tc>
          <w:tcPr>
            <w:tcW w:w="1728" w:type="dxa"/>
            <w:tcBorders>
              <w:top w:val="single" w:sz="4" w:space="0" w:color="B7B7B7"/>
              <w:left w:val="single" w:sz="4" w:space="0" w:color="B7B7B7"/>
              <w:bottom w:val="single" w:sz="4" w:space="0" w:color="B7B7B7"/>
              <w:right w:val="single" w:sz="4" w:space="0" w:color="B7B7B7"/>
            </w:tcBorders>
            <w:shd w:val="clear" w:color="auto" w:fill="E7E6E6"/>
            <w:tcMar>
              <w:top w:w="70" w:type="dxa"/>
              <w:left w:w="65" w:type="dxa"/>
              <w:bottom w:w="70" w:type="dxa"/>
              <w:right w:w="65" w:type="dxa"/>
            </w:tcMar>
            <w:vAlign w:val="center"/>
          </w:tcPr>
          <w:p w14:paraId="1D0FC192" w14:textId="77777777" w:rsidR="00CB1DC7" w:rsidRPr="00725F3F" w:rsidRDefault="00000000">
            <w:pPr>
              <w:widowControl/>
              <w:spacing w:after="0" w:line="240" w:lineRule="auto"/>
              <w:jc w:val="left"/>
              <w:rPr>
                <w:sz w:val="16"/>
                <w:szCs w:val="16"/>
              </w:rPr>
            </w:pPr>
            <w:r w:rsidRPr="00725F3F">
              <w:rPr>
                <w:b/>
                <w:color w:val="124191"/>
                <w:sz w:val="16"/>
                <w:szCs w:val="16"/>
              </w:rPr>
              <w:t>Representative ITU-T Standards</w:t>
            </w:r>
          </w:p>
        </w:tc>
        <w:tc>
          <w:tcPr>
            <w:tcW w:w="1728" w:type="dxa"/>
            <w:tcBorders>
              <w:top w:val="single" w:sz="4" w:space="0" w:color="B7B7B7"/>
              <w:left w:val="single" w:sz="4" w:space="0" w:color="B7B7B7"/>
              <w:bottom w:val="single" w:sz="4" w:space="0" w:color="B7B7B7"/>
              <w:right w:val="single" w:sz="4" w:space="0" w:color="B7B7B7"/>
            </w:tcBorders>
            <w:shd w:val="clear" w:color="auto" w:fill="E7E6E6"/>
            <w:tcMar>
              <w:top w:w="70" w:type="dxa"/>
              <w:left w:w="65" w:type="dxa"/>
              <w:bottom w:w="70" w:type="dxa"/>
              <w:right w:w="65" w:type="dxa"/>
            </w:tcMar>
            <w:vAlign w:val="center"/>
          </w:tcPr>
          <w:p w14:paraId="0081C959" w14:textId="77777777" w:rsidR="00CB1DC7" w:rsidRPr="00725F3F" w:rsidRDefault="00000000">
            <w:pPr>
              <w:widowControl/>
              <w:spacing w:after="0" w:line="240" w:lineRule="auto"/>
              <w:jc w:val="left"/>
              <w:rPr>
                <w:sz w:val="16"/>
                <w:szCs w:val="16"/>
              </w:rPr>
            </w:pPr>
            <w:r w:rsidRPr="00725F3F">
              <w:rPr>
                <w:b/>
                <w:color w:val="124191"/>
                <w:sz w:val="16"/>
                <w:szCs w:val="16"/>
              </w:rPr>
              <w:t>Strengths</w:t>
            </w:r>
          </w:p>
        </w:tc>
        <w:tc>
          <w:tcPr>
            <w:tcW w:w="2951" w:type="dxa"/>
            <w:tcBorders>
              <w:top w:val="single" w:sz="4" w:space="0" w:color="B7B7B7"/>
              <w:left w:val="single" w:sz="4" w:space="0" w:color="B7B7B7"/>
              <w:bottom w:val="single" w:sz="4" w:space="0" w:color="B7B7B7"/>
              <w:right w:val="single" w:sz="4" w:space="0" w:color="B7B7B7"/>
            </w:tcBorders>
            <w:shd w:val="clear" w:color="auto" w:fill="E7E6E6"/>
            <w:tcMar>
              <w:top w:w="70" w:type="dxa"/>
              <w:left w:w="65" w:type="dxa"/>
              <w:bottom w:w="70" w:type="dxa"/>
              <w:right w:w="65" w:type="dxa"/>
            </w:tcMar>
            <w:vAlign w:val="center"/>
          </w:tcPr>
          <w:p w14:paraId="0E15FD81" w14:textId="77777777" w:rsidR="00CB1DC7" w:rsidRPr="00725F3F" w:rsidRDefault="00000000">
            <w:pPr>
              <w:widowControl/>
              <w:spacing w:after="0" w:line="240" w:lineRule="auto"/>
              <w:jc w:val="left"/>
              <w:rPr>
                <w:sz w:val="16"/>
                <w:szCs w:val="16"/>
              </w:rPr>
            </w:pPr>
            <w:r w:rsidRPr="00725F3F">
              <w:rPr>
                <w:b/>
                <w:color w:val="124191"/>
                <w:sz w:val="16"/>
                <w:szCs w:val="16"/>
              </w:rPr>
              <w:t>Limitations and Typical Use</w:t>
            </w:r>
          </w:p>
        </w:tc>
      </w:tr>
      <w:tr w:rsidR="00CB1DC7" w14:paraId="104DC5FA" w14:textId="77777777">
        <w:trPr>
          <w:cantSplit/>
          <w:jc w:val="center"/>
        </w:trPr>
        <w:tc>
          <w:tcPr>
            <w:tcW w:w="1224" w:type="dxa"/>
            <w:tcBorders>
              <w:top w:val="single" w:sz="4" w:space="0" w:color="B7B7B7"/>
              <w:left w:val="single" w:sz="4" w:space="0" w:color="B7B7B7"/>
              <w:bottom w:val="single" w:sz="4" w:space="0" w:color="B7B7B7"/>
              <w:right w:val="single" w:sz="4" w:space="0" w:color="B7B7B7"/>
            </w:tcBorders>
            <w:tcMar>
              <w:top w:w="70" w:type="dxa"/>
              <w:left w:w="65" w:type="dxa"/>
              <w:bottom w:w="70" w:type="dxa"/>
              <w:right w:w="65" w:type="dxa"/>
            </w:tcMar>
            <w:vAlign w:val="center"/>
          </w:tcPr>
          <w:p w14:paraId="43FC7F29" w14:textId="77777777" w:rsidR="00CB1DC7" w:rsidRPr="00725F3F" w:rsidRDefault="00000000">
            <w:pPr>
              <w:widowControl/>
              <w:spacing w:after="0" w:line="240" w:lineRule="auto"/>
              <w:jc w:val="left"/>
              <w:rPr>
                <w:sz w:val="16"/>
                <w:szCs w:val="16"/>
              </w:rPr>
            </w:pPr>
            <w:proofErr w:type="gramStart"/>
            <w:r w:rsidRPr="00725F3F">
              <w:rPr>
                <w:color w:val="222222"/>
                <w:sz w:val="16"/>
                <w:szCs w:val="16"/>
              </w:rPr>
              <w:t>Full-Reference</w:t>
            </w:r>
            <w:proofErr w:type="gramEnd"/>
            <w:r w:rsidRPr="00725F3F">
              <w:rPr>
                <w:color w:val="222222"/>
                <w:sz w:val="16"/>
                <w:szCs w:val="16"/>
              </w:rPr>
              <w:t xml:space="preserve"> (FR)</w:t>
            </w:r>
          </w:p>
        </w:tc>
        <w:tc>
          <w:tcPr>
            <w:tcW w:w="1872" w:type="dxa"/>
            <w:tcBorders>
              <w:top w:val="single" w:sz="4" w:space="0" w:color="B7B7B7"/>
              <w:left w:val="single" w:sz="4" w:space="0" w:color="B7B7B7"/>
              <w:bottom w:val="single" w:sz="4" w:space="0" w:color="B7B7B7"/>
              <w:right w:val="single" w:sz="4" w:space="0" w:color="B7B7B7"/>
            </w:tcBorders>
            <w:tcMar>
              <w:top w:w="70" w:type="dxa"/>
              <w:left w:w="65" w:type="dxa"/>
              <w:bottom w:w="70" w:type="dxa"/>
              <w:right w:w="65" w:type="dxa"/>
            </w:tcMar>
            <w:vAlign w:val="center"/>
          </w:tcPr>
          <w:p w14:paraId="48A71AFD" w14:textId="77777777" w:rsidR="00CB1DC7" w:rsidRPr="00725F3F" w:rsidRDefault="00000000">
            <w:pPr>
              <w:widowControl/>
              <w:spacing w:after="0" w:line="240" w:lineRule="auto"/>
              <w:jc w:val="left"/>
              <w:rPr>
                <w:sz w:val="16"/>
                <w:szCs w:val="16"/>
              </w:rPr>
            </w:pPr>
            <w:r w:rsidRPr="00725F3F">
              <w:rPr>
                <w:color w:val="222222"/>
                <w:sz w:val="16"/>
                <w:szCs w:val="16"/>
              </w:rPr>
              <w:t>Complete source video and processed or received video; accurate alignment is normally required.</w:t>
            </w:r>
          </w:p>
        </w:tc>
        <w:tc>
          <w:tcPr>
            <w:tcW w:w="1728" w:type="dxa"/>
            <w:tcBorders>
              <w:top w:val="single" w:sz="4" w:space="0" w:color="B7B7B7"/>
              <w:left w:val="single" w:sz="4" w:space="0" w:color="B7B7B7"/>
              <w:bottom w:val="single" w:sz="4" w:space="0" w:color="B7B7B7"/>
              <w:right w:val="single" w:sz="4" w:space="0" w:color="B7B7B7"/>
            </w:tcBorders>
            <w:tcMar>
              <w:top w:w="70" w:type="dxa"/>
              <w:left w:w="65" w:type="dxa"/>
              <w:bottom w:w="70" w:type="dxa"/>
              <w:right w:w="65" w:type="dxa"/>
            </w:tcMar>
            <w:vAlign w:val="center"/>
          </w:tcPr>
          <w:p w14:paraId="4DC3469C" w14:textId="77777777" w:rsidR="00CB1DC7" w:rsidRPr="00725F3F" w:rsidRDefault="00000000">
            <w:pPr>
              <w:widowControl/>
              <w:spacing w:after="0" w:line="240" w:lineRule="auto"/>
              <w:jc w:val="left"/>
              <w:rPr>
                <w:sz w:val="16"/>
                <w:szCs w:val="16"/>
              </w:rPr>
            </w:pPr>
            <w:r w:rsidRPr="00725F3F">
              <w:rPr>
                <w:color w:val="222222"/>
                <w:sz w:val="16"/>
                <w:szCs w:val="16"/>
              </w:rPr>
              <w:t>J.144; J.343.5–J.343.6; P.1204.4</w:t>
            </w:r>
          </w:p>
        </w:tc>
        <w:tc>
          <w:tcPr>
            <w:tcW w:w="1728" w:type="dxa"/>
            <w:tcBorders>
              <w:top w:val="single" w:sz="4" w:space="0" w:color="B7B7B7"/>
              <w:left w:val="single" w:sz="4" w:space="0" w:color="B7B7B7"/>
              <w:bottom w:val="single" w:sz="4" w:space="0" w:color="B7B7B7"/>
              <w:right w:val="single" w:sz="4" w:space="0" w:color="B7B7B7"/>
            </w:tcBorders>
            <w:tcMar>
              <w:top w:w="70" w:type="dxa"/>
              <w:left w:w="65" w:type="dxa"/>
              <w:bottom w:w="70" w:type="dxa"/>
              <w:right w:w="65" w:type="dxa"/>
            </w:tcMar>
            <w:vAlign w:val="center"/>
          </w:tcPr>
          <w:p w14:paraId="57789B53" w14:textId="77777777" w:rsidR="00CB1DC7" w:rsidRPr="00725F3F" w:rsidRDefault="00000000">
            <w:pPr>
              <w:widowControl/>
              <w:spacing w:after="0" w:line="240" w:lineRule="auto"/>
              <w:jc w:val="left"/>
              <w:rPr>
                <w:sz w:val="16"/>
                <w:szCs w:val="16"/>
              </w:rPr>
            </w:pPr>
            <w:r w:rsidRPr="00725F3F">
              <w:rPr>
                <w:color w:val="222222"/>
                <w:sz w:val="16"/>
                <w:szCs w:val="16"/>
              </w:rPr>
              <w:t>Typically provides high precision because the complete source reference is available.</w:t>
            </w:r>
          </w:p>
        </w:tc>
        <w:tc>
          <w:tcPr>
            <w:tcW w:w="2951" w:type="dxa"/>
            <w:tcBorders>
              <w:top w:val="single" w:sz="4" w:space="0" w:color="B7B7B7"/>
              <w:left w:val="single" w:sz="4" w:space="0" w:color="B7B7B7"/>
              <w:bottom w:val="single" w:sz="4" w:space="0" w:color="B7B7B7"/>
              <w:right w:val="single" w:sz="4" w:space="0" w:color="B7B7B7"/>
            </w:tcBorders>
            <w:tcMar>
              <w:top w:w="70" w:type="dxa"/>
              <w:left w:w="65" w:type="dxa"/>
              <w:bottom w:w="70" w:type="dxa"/>
              <w:right w:w="65" w:type="dxa"/>
            </w:tcMar>
            <w:vAlign w:val="center"/>
          </w:tcPr>
          <w:p w14:paraId="48EB9206" w14:textId="77777777" w:rsidR="00CB1DC7" w:rsidRPr="00725F3F" w:rsidRDefault="00000000">
            <w:pPr>
              <w:widowControl/>
              <w:spacing w:after="0" w:line="240" w:lineRule="auto"/>
              <w:jc w:val="left"/>
              <w:rPr>
                <w:sz w:val="16"/>
                <w:szCs w:val="16"/>
              </w:rPr>
            </w:pPr>
            <w:r w:rsidRPr="00725F3F">
              <w:rPr>
                <w:color w:val="222222"/>
                <w:sz w:val="16"/>
                <w:szCs w:val="16"/>
              </w:rPr>
              <w:t xml:space="preserve">Best suited to codec development, equipment benchmarking, and controlled laboratory validation. Difficult to </w:t>
            </w:r>
            <w:proofErr w:type="gramStart"/>
            <w:r w:rsidRPr="00725F3F">
              <w:rPr>
                <w:color w:val="222222"/>
                <w:sz w:val="16"/>
                <w:szCs w:val="16"/>
              </w:rPr>
              <w:t>deploy in</w:t>
            </w:r>
            <w:proofErr w:type="gramEnd"/>
            <w:r w:rsidRPr="00725F3F">
              <w:rPr>
                <w:color w:val="222222"/>
                <w:sz w:val="16"/>
                <w:szCs w:val="16"/>
              </w:rPr>
              <w:t xml:space="preserve"> live or user-side monitoring.</w:t>
            </w:r>
          </w:p>
        </w:tc>
      </w:tr>
      <w:tr w:rsidR="00CB1DC7" w14:paraId="71CB2A43" w14:textId="77777777">
        <w:trPr>
          <w:cantSplit/>
          <w:jc w:val="center"/>
        </w:trPr>
        <w:tc>
          <w:tcPr>
            <w:tcW w:w="1224" w:type="dxa"/>
            <w:tcBorders>
              <w:top w:val="single" w:sz="4" w:space="0" w:color="B7B7B7"/>
              <w:left w:val="single" w:sz="4" w:space="0" w:color="B7B7B7"/>
              <w:bottom w:val="single" w:sz="4" w:space="0" w:color="B7B7B7"/>
              <w:right w:val="single" w:sz="4" w:space="0" w:color="B7B7B7"/>
            </w:tcBorders>
            <w:shd w:val="clear" w:color="auto" w:fill="F7F9FB"/>
            <w:tcMar>
              <w:top w:w="70" w:type="dxa"/>
              <w:left w:w="65" w:type="dxa"/>
              <w:bottom w:w="70" w:type="dxa"/>
              <w:right w:w="65" w:type="dxa"/>
            </w:tcMar>
            <w:vAlign w:val="center"/>
          </w:tcPr>
          <w:p w14:paraId="12B0BA7A" w14:textId="77777777" w:rsidR="00CB1DC7" w:rsidRPr="00725F3F" w:rsidRDefault="00000000">
            <w:pPr>
              <w:widowControl/>
              <w:spacing w:after="0" w:line="240" w:lineRule="auto"/>
              <w:jc w:val="left"/>
              <w:rPr>
                <w:sz w:val="16"/>
                <w:szCs w:val="16"/>
              </w:rPr>
            </w:pPr>
            <w:r w:rsidRPr="00725F3F">
              <w:rPr>
                <w:color w:val="222222"/>
                <w:sz w:val="16"/>
                <w:szCs w:val="16"/>
              </w:rPr>
              <w:t>Reduced-Reference (RR)</w:t>
            </w:r>
          </w:p>
        </w:tc>
        <w:tc>
          <w:tcPr>
            <w:tcW w:w="1872" w:type="dxa"/>
            <w:tcBorders>
              <w:top w:val="single" w:sz="4" w:space="0" w:color="B7B7B7"/>
              <w:left w:val="single" w:sz="4" w:space="0" w:color="B7B7B7"/>
              <w:bottom w:val="single" w:sz="4" w:space="0" w:color="B7B7B7"/>
              <w:right w:val="single" w:sz="4" w:space="0" w:color="B7B7B7"/>
            </w:tcBorders>
            <w:shd w:val="clear" w:color="auto" w:fill="F7F9FB"/>
            <w:tcMar>
              <w:top w:w="70" w:type="dxa"/>
              <w:left w:w="65" w:type="dxa"/>
              <w:bottom w:w="70" w:type="dxa"/>
              <w:right w:w="65" w:type="dxa"/>
            </w:tcMar>
            <w:vAlign w:val="center"/>
          </w:tcPr>
          <w:p w14:paraId="20EE85B5" w14:textId="77777777" w:rsidR="00CB1DC7" w:rsidRPr="00725F3F" w:rsidRDefault="00000000">
            <w:pPr>
              <w:widowControl/>
              <w:spacing w:after="0" w:line="240" w:lineRule="auto"/>
              <w:jc w:val="left"/>
              <w:rPr>
                <w:sz w:val="16"/>
                <w:szCs w:val="16"/>
              </w:rPr>
            </w:pPr>
            <w:r w:rsidRPr="00725F3F">
              <w:rPr>
                <w:color w:val="222222"/>
                <w:sz w:val="16"/>
                <w:szCs w:val="16"/>
              </w:rPr>
              <w:t>Received video plus selected features extracted from the source and transferred through a reference-side channel.</w:t>
            </w:r>
          </w:p>
        </w:tc>
        <w:tc>
          <w:tcPr>
            <w:tcW w:w="1728" w:type="dxa"/>
            <w:tcBorders>
              <w:top w:val="single" w:sz="4" w:space="0" w:color="B7B7B7"/>
              <w:left w:val="single" w:sz="4" w:space="0" w:color="B7B7B7"/>
              <w:bottom w:val="single" w:sz="4" w:space="0" w:color="B7B7B7"/>
              <w:right w:val="single" w:sz="4" w:space="0" w:color="B7B7B7"/>
            </w:tcBorders>
            <w:shd w:val="clear" w:color="auto" w:fill="F7F9FB"/>
            <w:tcMar>
              <w:top w:w="70" w:type="dxa"/>
              <w:left w:w="65" w:type="dxa"/>
              <w:bottom w:w="70" w:type="dxa"/>
              <w:right w:w="65" w:type="dxa"/>
            </w:tcMar>
            <w:vAlign w:val="center"/>
          </w:tcPr>
          <w:p w14:paraId="798C2ABF" w14:textId="77777777" w:rsidR="00CB1DC7" w:rsidRPr="00725F3F" w:rsidRDefault="00000000">
            <w:pPr>
              <w:widowControl/>
              <w:spacing w:after="0" w:line="240" w:lineRule="auto"/>
              <w:jc w:val="left"/>
              <w:rPr>
                <w:sz w:val="16"/>
                <w:szCs w:val="16"/>
              </w:rPr>
            </w:pPr>
            <w:r w:rsidRPr="00725F3F">
              <w:rPr>
                <w:color w:val="222222"/>
                <w:sz w:val="16"/>
                <w:szCs w:val="16"/>
              </w:rPr>
              <w:t>J.246; J.343.3–J.343.4; P.1204.4</w:t>
            </w:r>
          </w:p>
        </w:tc>
        <w:tc>
          <w:tcPr>
            <w:tcW w:w="1728" w:type="dxa"/>
            <w:tcBorders>
              <w:top w:val="single" w:sz="4" w:space="0" w:color="B7B7B7"/>
              <w:left w:val="single" w:sz="4" w:space="0" w:color="B7B7B7"/>
              <w:bottom w:val="single" w:sz="4" w:space="0" w:color="B7B7B7"/>
              <w:right w:val="single" w:sz="4" w:space="0" w:color="B7B7B7"/>
            </w:tcBorders>
            <w:shd w:val="clear" w:color="auto" w:fill="F7F9FB"/>
            <w:tcMar>
              <w:top w:w="70" w:type="dxa"/>
              <w:left w:w="65" w:type="dxa"/>
              <w:bottom w:w="70" w:type="dxa"/>
              <w:right w:w="65" w:type="dxa"/>
            </w:tcMar>
            <w:vAlign w:val="center"/>
          </w:tcPr>
          <w:p w14:paraId="1150D1DB" w14:textId="77777777" w:rsidR="00CB1DC7" w:rsidRPr="00725F3F" w:rsidRDefault="00000000">
            <w:pPr>
              <w:widowControl/>
              <w:spacing w:after="0" w:line="240" w:lineRule="auto"/>
              <w:jc w:val="left"/>
              <w:rPr>
                <w:sz w:val="16"/>
                <w:szCs w:val="16"/>
              </w:rPr>
            </w:pPr>
            <w:r w:rsidRPr="00725F3F">
              <w:rPr>
                <w:color w:val="222222"/>
                <w:sz w:val="16"/>
                <w:szCs w:val="16"/>
              </w:rPr>
              <w:t>Reduces reference-data overhead while retaining partial source information.</w:t>
            </w:r>
          </w:p>
        </w:tc>
        <w:tc>
          <w:tcPr>
            <w:tcW w:w="2951" w:type="dxa"/>
            <w:tcBorders>
              <w:top w:val="single" w:sz="4" w:space="0" w:color="B7B7B7"/>
              <w:left w:val="single" w:sz="4" w:space="0" w:color="B7B7B7"/>
              <w:bottom w:val="single" w:sz="4" w:space="0" w:color="B7B7B7"/>
              <w:right w:val="single" w:sz="4" w:space="0" w:color="B7B7B7"/>
            </w:tcBorders>
            <w:shd w:val="clear" w:color="auto" w:fill="F7F9FB"/>
            <w:tcMar>
              <w:top w:w="70" w:type="dxa"/>
              <w:left w:w="65" w:type="dxa"/>
              <w:bottom w:w="70" w:type="dxa"/>
              <w:right w:w="65" w:type="dxa"/>
            </w:tcMar>
            <w:vAlign w:val="center"/>
          </w:tcPr>
          <w:p w14:paraId="648F8AC2" w14:textId="77777777" w:rsidR="00CB1DC7" w:rsidRPr="00725F3F" w:rsidRDefault="00000000">
            <w:pPr>
              <w:widowControl/>
              <w:spacing w:after="0" w:line="240" w:lineRule="auto"/>
              <w:jc w:val="left"/>
              <w:rPr>
                <w:sz w:val="16"/>
                <w:szCs w:val="16"/>
              </w:rPr>
            </w:pPr>
            <w:r w:rsidRPr="00725F3F">
              <w:rPr>
                <w:color w:val="222222"/>
                <w:sz w:val="16"/>
                <w:szCs w:val="16"/>
              </w:rPr>
              <w:t>Requires reference-side feature extraction, synchronization, and side-channel delivery. Applicable when a controlled reference path is available.</w:t>
            </w:r>
          </w:p>
        </w:tc>
      </w:tr>
      <w:tr w:rsidR="00CB1DC7" w14:paraId="1C3B0F24" w14:textId="77777777">
        <w:trPr>
          <w:cantSplit/>
          <w:jc w:val="center"/>
        </w:trPr>
        <w:tc>
          <w:tcPr>
            <w:tcW w:w="1224" w:type="dxa"/>
            <w:tcBorders>
              <w:top w:val="single" w:sz="4" w:space="0" w:color="B7B7B7"/>
              <w:left w:val="single" w:sz="4" w:space="0" w:color="B7B7B7"/>
              <w:bottom w:val="single" w:sz="12" w:space="0" w:color="124191"/>
              <w:right w:val="single" w:sz="4" w:space="0" w:color="B7B7B7"/>
            </w:tcBorders>
            <w:tcMar>
              <w:top w:w="70" w:type="dxa"/>
              <w:left w:w="65" w:type="dxa"/>
              <w:bottom w:w="70" w:type="dxa"/>
              <w:right w:w="65" w:type="dxa"/>
            </w:tcMar>
            <w:vAlign w:val="center"/>
          </w:tcPr>
          <w:p w14:paraId="1A213ADD" w14:textId="77777777" w:rsidR="00CB1DC7" w:rsidRPr="00725F3F" w:rsidRDefault="00000000">
            <w:pPr>
              <w:widowControl/>
              <w:spacing w:after="0" w:line="240" w:lineRule="auto"/>
              <w:jc w:val="left"/>
              <w:rPr>
                <w:sz w:val="16"/>
                <w:szCs w:val="16"/>
              </w:rPr>
            </w:pPr>
            <w:r w:rsidRPr="00725F3F">
              <w:rPr>
                <w:color w:val="222222"/>
                <w:sz w:val="16"/>
                <w:szCs w:val="16"/>
              </w:rPr>
              <w:t>No-Reference (NR)</w:t>
            </w:r>
          </w:p>
        </w:tc>
        <w:tc>
          <w:tcPr>
            <w:tcW w:w="1872" w:type="dxa"/>
            <w:tcBorders>
              <w:top w:val="single" w:sz="4" w:space="0" w:color="B7B7B7"/>
              <w:left w:val="single" w:sz="4" w:space="0" w:color="B7B7B7"/>
              <w:bottom w:val="single" w:sz="12" w:space="0" w:color="124191"/>
              <w:right w:val="single" w:sz="4" w:space="0" w:color="B7B7B7"/>
            </w:tcBorders>
            <w:tcMar>
              <w:top w:w="70" w:type="dxa"/>
              <w:left w:w="65" w:type="dxa"/>
              <w:bottom w:w="70" w:type="dxa"/>
              <w:right w:w="65" w:type="dxa"/>
            </w:tcMar>
            <w:vAlign w:val="center"/>
          </w:tcPr>
          <w:p w14:paraId="07DBE0C4" w14:textId="77777777" w:rsidR="00CB1DC7" w:rsidRPr="00725F3F" w:rsidRDefault="00000000">
            <w:pPr>
              <w:widowControl/>
              <w:spacing w:after="0" w:line="240" w:lineRule="auto"/>
              <w:jc w:val="left"/>
              <w:rPr>
                <w:sz w:val="16"/>
                <w:szCs w:val="16"/>
              </w:rPr>
            </w:pPr>
            <w:r w:rsidRPr="00725F3F">
              <w:rPr>
                <w:color w:val="222222"/>
                <w:sz w:val="16"/>
                <w:szCs w:val="16"/>
              </w:rPr>
              <w:t>Received video, metadata, or bitstream information without the complete original source. Pixel-based NR models can operate directly on decoded RGB frames.</w:t>
            </w:r>
          </w:p>
        </w:tc>
        <w:tc>
          <w:tcPr>
            <w:tcW w:w="1728" w:type="dxa"/>
            <w:tcBorders>
              <w:top w:val="single" w:sz="4" w:space="0" w:color="B7B7B7"/>
              <w:left w:val="single" w:sz="4" w:space="0" w:color="B7B7B7"/>
              <w:bottom w:val="single" w:sz="12" w:space="0" w:color="124191"/>
              <w:right w:val="single" w:sz="4" w:space="0" w:color="B7B7B7"/>
            </w:tcBorders>
            <w:tcMar>
              <w:top w:w="70" w:type="dxa"/>
              <w:left w:w="65" w:type="dxa"/>
              <w:bottom w:w="70" w:type="dxa"/>
              <w:right w:w="65" w:type="dxa"/>
            </w:tcMar>
            <w:vAlign w:val="center"/>
          </w:tcPr>
          <w:p w14:paraId="194A86B0" w14:textId="77777777" w:rsidR="00CB1DC7" w:rsidRPr="00725F3F" w:rsidRDefault="00000000">
            <w:pPr>
              <w:widowControl/>
              <w:spacing w:after="0" w:line="240" w:lineRule="auto"/>
              <w:jc w:val="left"/>
              <w:rPr>
                <w:sz w:val="16"/>
                <w:szCs w:val="16"/>
              </w:rPr>
            </w:pPr>
            <w:r w:rsidRPr="00725F3F">
              <w:rPr>
                <w:color w:val="222222"/>
                <w:sz w:val="16"/>
                <w:szCs w:val="16"/>
              </w:rPr>
              <w:t>J.343.1–J.343.2; J.344.1–J.344.2; selected P.1204 models</w:t>
            </w:r>
          </w:p>
        </w:tc>
        <w:tc>
          <w:tcPr>
            <w:tcW w:w="1728" w:type="dxa"/>
            <w:tcBorders>
              <w:top w:val="single" w:sz="4" w:space="0" w:color="B7B7B7"/>
              <w:left w:val="single" w:sz="4" w:space="0" w:color="B7B7B7"/>
              <w:bottom w:val="single" w:sz="12" w:space="0" w:color="124191"/>
              <w:right w:val="single" w:sz="4" w:space="0" w:color="B7B7B7"/>
            </w:tcBorders>
            <w:tcMar>
              <w:top w:w="70" w:type="dxa"/>
              <w:left w:w="65" w:type="dxa"/>
              <w:bottom w:w="70" w:type="dxa"/>
              <w:right w:w="65" w:type="dxa"/>
            </w:tcMar>
            <w:vAlign w:val="center"/>
          </w:tcPr>
          <w:p w14:paraId="5B1DCC5A" w14:textId="77777777" w:rsidR="00CB1DC7" w:rsidRPr="00725F3F" w:rsidRDefault="00000000">
            <w:pPr>
              <w:widowControl/>
              <w:spacing w:after="0" w:line="240" w:lineRule="auto"/>
              <w:jc w:val="left"/>
              <w:rPr>
                <w:sz w:val="16"/>
                <w:szCs w:val="16"/>
              </w:rPr>
            </w:pPr>
            <w:r w:rsidRPr="00725F3F">
              <w:rPr>
                <w:color w:val="222222"/>
                <w:sz w:val="16"/>
                <w:szCs w:val="16"/>
              </w:rPr>
              <w:t>Most practical for field, black-box, end-user, and live-service measurement.</w:t>
            </w:r>
          </w:p>
        </w:tc>
        <w:tc>
          <w:tcPr>
            <w:tcW w:w="2951" w:type="dxa"/>
            <w:tcBorders>
              <w:top w:val="single" w:sz="4" w:space="0" w:color="B7B7B7"/>
              <w:left w:val="single" w:sz="4" w:space="0" w:color="B7B7B7"/>
              <w:bottom w:val="single" w:sz="12" w:space="0" w:color="124191"/>
              <w:right w:val="single" w:sz="4" w:space="0" w:color="B7B7B7"/>
            </w:tcBorders>
            <w:tcMar>
              <w:top w:w="70" w:type="dxa"/>
              <w:left w:w="65" w:type="dxa"/>
              <w:bottom w:w="70" w:type="dxa"/>
              <w:right w:w="65" w:type="dxa"/>
            </w:tcMar>
            <w:vAlign w:val="center"/>
          </w:tcPr>
          <w:p w14:paraId="21357E4D" w14:textId="77777777" w:rsidR="00CB1DC7" w:rsidRPr="00725F3F" w:rsidRDefault="00000000">
            <w:pPr>
              <w:widowControl/>
              <w:spacing w:after="0" w:line="240" w:lineRule="auto"/>
              <w:jc w:val="left"/>
              <w:rPr>
                <w:sz w:val="16"/>
                <w:szCs w:val="16"/>
              </w:rPr>
            </w:pPr>
            <w:r w:rsidRPr="00725F3F">
              <w:rPr>
                <w:color w:val="222222"/>
                <w:sz w:val="16"/>
                <w:szCs w:val="16"/>
              </w:rPr>
              <w:t>Technically demanding because perceptual degradation must be inferred without a complete reference. Model behavior depends on the available input type and training coverage.</w:t>
            </w:r>
          </w:p>
        </w:tc>
      </w:tr>
    </w:tbl>
    <w:p w14:paraId="20C09047" w14:textId="77777777" w:rsidR="00CB1DC7" w:rsidRDefault="00000000">
      <w:pPr>
        <w:spacing w:before="20" w:after="140"/>
        <w:jc w:val="center"/>
      </w:pPr>
      <w:r>
        <w:rPr>
          <w:i/>
          <w:color w:val="666666"/>
          <w:sz w:val="15"/>
        </w:rPr>
        <w:t>Table 2. Comparison of reference requirements and deployment characteristics</w:t>
      </w:r>
    </w:p>
    <w:p w14:paraId="166BB01D" w14:textId="77777777" w:rsidR="00CB1DC7" w:rsidRDefault="00000000">
      <w:pPr>
        <w:widowControl/>
      </w:pPr>
      <w:r>
        <w:rPr>
          <w:color w:val="222222"/>
        </w:rPr>
        <w:t>FR and RR remain valuable when source-side data can be controlled. Their dependence on source access and synchronization, however, limits their scalability in live, multi-vendor mobile environments. NR assessment is therefore the practical foundation for broad field and service monitoring.</w:t>
      </w:r>
    </w:p>
    <w:p w14:paraId="3C50047A" w14:textId="77777777" w:rsidR="00CB1DC7" w:rsidRDefault="00000000">
      <w:pPr>
        <w:widowControl/>
      </w:pPr>
      <w:r>
        <w:rPr>
          <w:color w:val="222222"/>
        </w:rPr>
        <w:t xml:space="preserve">NR models also differ in their </w:t>
      </w:r>
      <w:proofErr w:type="gramStart"/>
      <w:r>
        <w:rPr>
          <w:color w:val="222222"/>
        </w:rPr>
        <w:t>inputs</w:t>
      </w:r>
      <w:proofErr w:type="gramEnd"/>
      <w:r>
        <w:rPr>
          <w:color w:val="222222"/>
        </w:rPr>
        <w:t xml:space="preserve">. Metadata-driven models, such as P.1204.1, estimate quality from encoding and service parameters. These inputs may be unavailable in encrypted services and may not expose pixel-level visual defects. The J.344 approach addresses this limitation by predicting perceived quality directly from received RGB video without requiring the original source or transmission metadata. Advanced AI and perceptual deep learning architectures are required to overcome the computational complexity of pure RGB analysis—a challenge that LIG </w:t>
      </w:r>
      <w:proofErr w:type="spellStart"/>
      <w:r>
        <w:rPr>
          <w:color w:val="222222"/>
        </w:rPr>
        <w:t>Accuver</w:t>
      </w:r>
      <w:proofErr w:type="spellEnd"/>
      <w:r>
        <w:rPr>
          <w:color w:val="222222"/>
        </w:rPr>
        <w:t xml:space="preserve"> has successfully solved.</w:t>
      </w:r>
    </w:p>
    <w:p w14:paraId="64C8A225" w14:textId="77777777" w:rsidR="00CB1DC7" w:rsidRDefault="00000000">
      <w:pPr>
        <w:pStyle w:val="2"/>
        <w:spacing w:before="200" w:after="100"/>
      </w:pPr>
      <w:r>
        <w:rPr>
          <w:rFonts w:ascii="Arial" w:eastAsia="Arial" w:hAnsi="Arial"/>
        </w:rPr>
        <w:lastRenderedPageBreak/>
        <w:t>1.4 The Approved ITU-T J.344 Framework</w:t>
      </w:r>
    </w:p>
    <w:p w14:paraId="00015FE1" w14:textId="77777777" w:rsidR="00CB1DC7" w:rsidRDefault="00000000">
      <w:pPr>
        <w:widowControl/>
      </w:pPr>
      <w:r>
        <w:rPr>
          <w:color w:val="222222"/>
        </w:rPr>
        <w:t xml:space="preserve">The </w:t>
      </w:r>
      <w:proofErr w:type="spellStart"/>
      <w:proofErr w:type="gramStart"/>
      <w:r>
        <w:rPr>
          <w:color w:val="222222"/>
        </w:rPr>
        <w:t>J.noref</w:t>
      </w:r>
      <w:proofErr w:type="spellEnd"/>
      <w:proofErr w:type="gramEnd"/>
      <w:r>
        <w:rPr>
          <w:color w:val="222222"/>
        </w:rPr>
        <w:t xml:space="preserve"> work item established a standardized approach for objective no-reference assessment of Full HD video. This work matured into the approved ITU-T J.344 recommendation family, which provides the framework and model definitions for advanced NR objective VQA.</w:t>
      </w:r>
    </w:p>
    <w:tbl>
      <w:tblPr>
        <w:tblW w:w="0" w:type="auto"/>
        <w:jc w:val="center"/>
        <w:tblLayout w:type="fixed"/>
        <w:tblLook w:val="04A0" w:firstRow="1" w:lastRow="0" w:firstColumn="1" w:lastColumn="0" w:noHBand="0" w:noVBand="1"/>
      </w:tblPr>
      <w:tblGrid>
        <w:gridCol w:w="1512"/>
        <w:gridCol w:w="3816"/>
        <w:gridCol w:w="4176"/>
      </w:tblGrid>
      <w:tr w:rsidR="00CB1DC7" w14:paraId="3430AE11" w14:textId="77777777">
        <w:trPr>
          <w:cantSplit/>
          <w:tblHeader/>
          <w:jc w:val="center"/>
        </w:trPr>
        <w:tc>
          <w:tcPr>
            <w:tcW w:w="1512" w:type="dxa"/>
            <w:tcBorders>
              <w:top w:val="single" w:sz="4" w:space="0" w:color="B7B7B7"/>
              <w:left w:val="single" w:sz="4" w:space="0" w:color="B7B7B7"/>
              <w:bottom w:val="single" w:sz="4" w:space="0" w:color="B7B7B7"/>
              <w:right w:val="single" w:sz="4" w:space="0" w:color="B7B7B7"/>
            </w:tcBorders>
            <w:shd w:val="clear" w:color="auto" w:fill="E7E6E6"/>
            <w:tcMar>
              <w:top w:w="70" w:type="dxa"/>
              <w:left w:w="65" w:type="dxa"/>
              <w:bottom w:w="70" w:type="dxa"/>
              <w:right w:w="65" w:type="dxa"/>
            </w:tcMar>
            <w:vAlign w:val="center"/>
          </w:tcPr>
          <w:p w14:paraId="4FC7E692" w14:textId="77777777" w:rsidR="00CB1DC7" w:rsidRDefault="00000000">
            <w:pPr>
              <w:widowControl/>
              <w:spacing w:after="0" w:line="240" w:lineRule="auto"/>
              <w:jc w:val="left"/>
            </w:pPr>
            <w:r>
              <w:rPr>
                <w:b/>
                <w:color w:val="124191"/>
                <w:sz w:val="16"/>
              </w:rPr>
              <w:t>Standard</w:t>
            </w:r>
          </w:p>
        </w:tc>
        <w:tc>
          <w:tcPr>
            <w:tcW w:w="3816" w:type="dxa"/>
            <w:tcBorders>
              <w:top w:val="single" w:sz="4" w:space="0" w:color="B7B7B7"/>
              <w:left w:val="single" w:sz="4" w:space="0" w:color="B7B7B7"/>
              <w:bottom w:val="single" w:sz="4" w:space="0" w:color="B7B7B7"/>
              <w:right w:val="single" w:sz="4" w:space="0" w:color="B7B7B7"/>
            </w:tcBorders>
            <w:shd w:val="clear" w:color="auto" w:fill="E7E6E6"/>
            <w:tcMar>
              <w:top w:w="70" w:type="dxa"/>
              <w:left w:w="65" w:type="dxa"/>
              <w:bottom w:w="70" w:type="dxa"/>
              <w:right w:w="65" w:type="dxa"/>
            </w:tcMar>
            <w:vAlign w:val="center"/>
          </w:tcPr>
          <w:p w14:paraId="42E552D8" w14:textId="77777777" w:rsidR="00CB1DC7" w:rsidRDefault="00000000">
            <w:pPr>
              <w:widowControl/>
              <w:spacing w:after="0" w:line="240" w:lineRule="auto"/>
              <w:jc w:val="left"/>
            </w:pPr>
            <w:r>
              <w:rPr>
                <w:b/>
                <w:color w:val="124191"/>
                <w:sz w:val="16"/>
              </w:rPr>
              <w:t>Scope</w:t>
            </w:r>
          </w:p>
        </w:tc>
        <w:tc>
          <w:tcPr>
            <w:tcW w:w="4176" w:type="dxa"/>
            <w:tcBorders>
              <w:top w:val="single" w:sz="4" w:space="0" w:color="B7B7B7"/>
              <w:left w:val="single" w:sz="4" w:space="0" w:color="B7B7B7"/>
              <w:bottom w:val="single" w:sz="4" w:space="0" w:color="B7B7B7"/>
              <w:right w:val="single" w:sz="4" w:space="0" w:color="B7B7B7"/>
            </w:tcBorders>
            <w:shd w:val="clear" w:color="auto" w:fill="E7E6E6"/>
            <w:tcMar>
              <w:top w:w="70" w:type="dxa"/>
              <w:left w:w="65" w:type="dxa"/>
              <w:bottom w:w="70" w:type="dxa"/>
              <w:right w:w="65" w:type="dxa"/>
            </w:tcMar>
            <w:vAlign w:val="center"/>
          </w:tcPr>
          <w:p w14:paraId="72A80E12" w14:textId="77777777" w:rsidR="00CB1DC7" w:rsidRDefault="00000000">
            <w:pPr>
              <w:widowControl/>
              <w:spacing w:after="0" w:line="240" w:lineRule="auto"/>
              <w:jc w:val="left"/>
            </w:pPr>
            <w:r>
              <w:rPr>
                <w:b/>
                <w:color w:val="124191"/>
                <w:sz w:val="16"/>
              </w:rPr>
              <w:t>Primary Impairment Focus</w:t>
            </w:r>
          </w:p>
        </w:tc>
      </w:tr>
      <w:tr w:rsidR="00CB1DC7" w14:paraId="6F4D74BA" w14:textId="77777777">
        <w:trPr>
          <w:cantSplit/>
          <w:jc w:val="center"/>
        </w:trPr>
        <w:tc>
          <w:tcPr>
            <w:tcW w:w="1512" w:type="dxa"/>
            <w:tcBorders>
              <w:top w:val="single" w:sz="4" w:space="0" w:color="B7B7B7"/>
              <w:left w:val="single" w:sz="4" w:space="0" w:color="B7B7B7"/>
              <w:bottom w:val="single" w:sz="4" w:space="0" w:color="B7B7B7"/>
              <w:right w:val="single" w:sz="4" w:space="0" w:color="B7B7B7"/>
            </w:tcBorders>
            <w:tcMar>
              <w:top w:w="70" w:type="dxa"/>
              <w:left w:w="65" w:type="dxa"/>
              <w:bottom w:w="70" w:type="dxa"/>
              <w:right w:w="65" w:type="dxa"/>
            </w:tcMar>
            <w:vAlign w:val="center"/>
          </w:tcPr>
          <w:p w14:paraId="4A92A0CF" w14:textId="77777777" w:rsidR="00CB1DC7" w:rsidRDefault="00000000">
            <w:pPr>
              <w:widowControl/>
              <w:spacing w:after="0" w:line="240" w:lineRule="auto"/>
              <w:jc w:val="left"/>
            </w:pPr>
            <w:r>
              <w:rPr>
                <w:color w:val="222222"/>
                <w:sz w:val="16"/>
              </w:rPr>
              <w:t>J.344</w:t>
            </w:r>
          </w:p>
        </w:tc>
        <w:tc>
          <w:tcPr>
            <w:tcW w:w="3816" w:type="dxa"/>
            <w:tcBorders>
              <w:top w:val="single" w:sz="4" w:space="0" w:color="B7B7B7"/>
              <w:left w:val="single" w:sz="4" w:space="0" w:color="B7B7B7"/>
              <w:bottom w:val="single" w:sz="4" w:space="0" w:color="B7B7B7"/>
              <w:right w:val="single" w:sz="4" w:space="0" w:color="B7B7B7"/>
            </w:tcBorders>
            <w:tcMar>
              <w:top w:w="70" w:type="dxa"/>
              <w:left w:w="65" w:type="dxa"/>
              <w:bottom w:w="70" w:type="dxa"/>
              <w:right w:w="65" w:type="dxa"/>
            </w:tcMar>
            <w:vAlign w:val="center"/>
          </w:tcPr>
          <w:p w14:paraId="76300ED8" w14:textId="77777777" w:rsidR="00CB1DC7" w:rsidRDefault="00000000">
            <w:pPr>
              <w:widowControl/>
              <w:spacing w:after="0" w:line="240" w:lineRule="auto"/>
              <w:jc w:val="left"/>
            </w:pPr>
            <w:r>
              <w:rPr>
                <w:color w:val="222222"/>
                <w:sz w:val="16"/>
              </w:rPr>
              <w:t>Framework and umbrella recommendation for no-reference objective VQA of Full HD video</w:t>
            </w:r>
          </w:p>
        </w:tc>
        <w:tc>
          <w:tcPr>
            <w:tcW w:w="4176" w:type="dxa"/>
            <w:tcBorders>
              <w:top w:val="single" w:sz="4" w:space="0" w:color="B7B7B7"/>
              <w:left w:val="single" w:sz="4" w:space="0" w:color="B7B7B7"/>
              <w:bottom w:val="single" w:sz="4" w:space="0" w:color="B7B7B7"/>
              <w:right w:val="single" w:sz="4" w:space="0" w:color="B7B7B7"/>
            </w:tcBorders>
            <w:tcMar>
              <w:top w:w="70" w:type="dxa"/>
              <w:left w:w="65" w:type="dxa"/>
              <w:bottom w:w="70" w:type="dxa"/>
              <w:right w:w="65" w:type="dxa"/>
            </w:tcMar>
            <w:vAlign w:val="center"/>
          </w:tcPr>
          <w:p w14:paraId="2CB67905" w14:textId="77777777" w:rsidR="00CB1DC7" w:rsidRDefault="00000000">
            <w:pPr>
              <w:widowControl/>
              <w:spacing w:after="0" w:line="240" w:lineRule="auto"/>
              <w:jc w:val="left"/>
            </w:pPr>
            <w:r>
              <w:rPr>
                <w:color w:val="222222"/>
                <w:sz w:val="16"/>
              </w:rPr>
              <w:t>Overall architecture, evaluation principles, and model framework</w:t>
            </w:r>
          </w:p>
        </w:tc>
      </w:tr>
      <w:tr w:rsidR="00CB1DC7" w14:paraId="26A8482F" w14:textId="77777777">
        <w:trPr>
          <w:cantSplit/>
          <w:jc w:val="center"/>
        </w:trPr>
        <w:tc>
          <w:tcPr>
            <w:tcW w:w="1512" w:type="dxa"/>
            <w:tcBorders>
              <w:top w:val="single" w:sz="4" w:space="0" w:color="B7B7B7"/>
              <w:left w:val="single" w:sz="4" w:space="0" w:color="B7B7B7"/>
              <w:bottom w:val="single" w:sz="4" w:space="0" w:color="B7B7B7"/>
              <w:right w:val="single" w:sz="4" w:space="0" w:color="B7B7B7"/>
            </w:tcBorders>
            <w:shd w:val="clear" w:color="auto" w:fill="F7F9FB"/>
            <w:tcMar>
              <w:top w:w="70" w:type="dxa"/>
              <w:left w:w="65" w:type="dxa"/>
              <w:bottom w:w="70" w:type="dxa"/>
              <w:right w:w="65" w:type="dxa"/>
            </w:tcMar>
            <w:vAlign w:val="center"/>
          </w:tcPr>
          <w:p w14:paraId="09840174" w14:textId="77777777" w:rsidR="00CB1DC7" w:rsidRDefault="00000000">
            <w:pPr>
              <w:widowControl/>
              <w:spacing w:after="0" w:line="240" w:lineRule="auto"/>
              <w:jc w:val="left"/>
            </w:pPr>
            <w:r>
              <w:rPr>
                <w:color w:val="222222"/>
                <w:sz w:val="16"/>
              </w:rPr>
              <w:t>J.344.1</w:t>
            </w:r>
          </w:p>
        </w:tc>
        <w:tc>
          <w:tcPr>
            <w:tcW w:w="3816" w:type="dxa"/>
            <w:tcBorders>
              <w:top w:val="single" w:sz="4" w:space="0" w:color="B7B7B7"/>
              <w:left w:val="single" w:sz="4" w:space="0" w:color="B7B7B7"/>
              <w:bottom w:val="single" w:sz="4" w:space="0" w:color="B7B7B7"/>
              <w:right w:val="single" w:sz="4" w:space="0" w:color="B7B7B7"/>
            </w:tcBorders>
            <w:shd w:val="clear" w:color="auto" w:fill="F7F9FB"/>
            <w:tcMar>
              <w:top w:w="70" w:type="dxa"/>
              <w:left w:w="65" w:type="dxa"/>
              <w:bottom w:w="70" w:type="dxa"/>
              <w:right w:w="65" w:type="dxa"/>
            </w:tcMar>
            <w:vAlign w:val="center"/>
          </w:tcPr>
          <w:p w14:paraId="2838789D" w14:textId="77777777" w:rsidR="00CB1DC7" w:rsidRDefault="00000000">
            <w:pPr>
              <w:widowControl/>
              <w:spacing w:after="0" w:line="240" w:lineRule="auto"/>
              <w:jc w:val="left"/>
            </w:pPr>
            <w:r>
              <w:rPr>
                <w:color w:val="222222"/>
                <w:sz w:val="16"/>
              </w:rPr>
              <w:t>No-reference objective VQA model for coding artifacts in Full HD video</w:t>
            </w:r>
          </w:p>
        </w:tc>
        <w:tc>
          <w:tcPr>
            <w:tcW w:w="4176" w:type="dxa"/>
            <w:tcBorders>
              <w:top w:val="single" w:sz="4" w:space="0" w:color="B7B7B7"/>
              <w:left w:val="single" w:sz="4" w:space="0" w:color="B7B7B7"/>
              <w:bottom w:val="single" w:sz="4" w:space="0" w:color="B7B7B7"/>
              <w:right w:val="single" w:sz="4" w:space="0" w:color="B7B7B7"/>
            </w:tcBorders>
            <w:shd w:val="clear" w:color="auto" w:fill="F7F9FB"/>
            <w:tcMar>
              <w:top w:w="70" w:type="dxa"/>
              <w:left w:w="65" w:type="dxa"/>
              <w:bottom w:w="70" w:type="dxa"/>
              <w:right w:w="65" w:type="dxa"/>
            </w:tcMar>
            <w:vAlign w:val="center"/>
          </w:tcPr>
          <w:p w14:paraId="1977DEBA" w14:textId="64D7F3A2" w:rsidR="00CB1DC7" w:rsidRDefault="006E426C">
            <w:pPr>
              <w:widowControl/>
              <w:spacing w:after="0" w:line="240" w:lineRule="auto"/>
              <w:jc w:val="left"/>
            </w:pPr>
            <w:r w:rsidRPr="006E426C">
              <w:rPr>
                <w:color w:val="222222"/>
                <w:sz w:val="16"/>
              </w:rPr>
              <w:t>Coding artifacts caused by video compression, including quantization-related degradation</w:t>
            </w:r>
          </w:p>
        </w:tc>
      </w:tr>
      <w:tr w:rsidR="00CB1DC7" w14:paraId="6108A608" w14:textId="77777777">
        <w:trPr>
          <w:cantSplit/>
          <w:jc w:val="center"/>
        </w:trPr>
        <w:tc>
          <w:tcPr>
            <w:tcW w:w="1512" w:type="dxa"/>
            <w:tcBorders>
              <w:top w:val="single" w:sz="4" w:space="0" w:color="B7B7B7"/>
              <w:left w:val="single" w:sz="4" w:space="0" w:color="B7B7B7"/>
              <w:bottom w:val="single" w:sz="12" w:space="0" w:color="124191"/>
              <w:right w:val="single" w:sz="4" w:space="0" w:color="B7B7B7"/>
            </w:tcBorders>
            <w:tcMar>
              <w:top w:w="70" w:type="dxa"/>
              <w:left w:w="65" w:type="dxa"/>
              <w:bottom w:w="70" w:type="dxa"/>
              <w:right w:w="65" w:type="dxa"/>
            </w:tcMar>
            <w:vAlign w:val="center"/>
          </w:tcPr>
          <w:p w14:paraId="20E5F8E9" w14:textId="77777777" w:rsidR="00CB1DC7" w:rsidRDefault="00000000">
            <w:pPr>
              <w:widowControl/>
              <w:spacing w:after="0" w:line="240" w:lineRule="auto"/>
              <w:jc w:val="left"/>
            </w:pPr>
            <w:r>
              <w:rPr>
                <w:color w:val="222222"/>
                <w:sz w:val="16"/>
              </w:rPr>
              <w:t>J.344.2</w:t>
            </w:r>
          </w:p>
        </w:tc>
        <w:tc>
          <w:tcPr>
            <w:tcW w:w="3816" w:type="dxa"/>
            <w:tcBorders>
              <w:top w:val="single" w:sz="4" w:space="0" w:color="B7B7B7"/>
              <w:left w:val="single" w:sz="4" w:space="0" w:color="B7B7B7"/>
              <w:bottom w:val="single" w:sz="12" w:space="0" w:color="124191"/>
              <w:right w:val="single" w:sz="4" w:space="0" w:color="B7B7B7"/>
            </w:tcBorders>
            <w:tcMar>
              <w:top w:w="70" w:type="dxa"/>
              <w:left w:w="65" w:type="dxa"/>
              <w:bottom w:w="70" w:type="dxa"/>
              <w:right w:w="65" w:type="dxa"/>
            </w:tcMar>
            <w:vAlign w:val="center"/>
          </w:tcPr>
          <w:p w14:paraId="318AC136" w14:textId="77777777" w:rsidR="00CB1DC7" w:rsidRDefault="00000000">
            <w:pPr>
              <w:widowControl/>
              <w:spacing w:after="0" w:line="240" w:lineRule="auto"/>
              <w:jc w:val="left"/>
            </w:pPr>
            <w:r>
              <w:rPr>
                <w:color w:val="222222"/>
                <w:sz w:val="16"/>
              </w:rPr>
              <w:t>No-reference objective VQA model for coding artifacts and camera impairments in Full HD video</w:t>
            </w:r>
          </w:p>
        </w:tc>
        <w:tc>
          <w:tcPr>
            <w:tcW w:w="4176" w:type="dxa"/>
            <w:tcBorders>
              <w:top w:val="single" w:sz="4" w:space="0" w:color="B7B7B7"/>
              <w:left w:val="single" w:sz="4" w:space="0" w:color="B7B7B7"/>
              <w:bottom w:val="single" w:sz="12" w:space="0" w:color="124191"/>
              <w:right w:val="single" w:sz="4" w:space="0" w:color="B7B7B7"/>
            </w:tcBorders>
            <w:tcMar>
              <w:top w:w="70" w:type="dxa"/>
              <w:left w:w="65" w:type="dxa"/>
              <w:bottom w:w="70" w:type="dxa"/>
              <w:right w:w="65" w:type="dxa"/>
            </w:tcMar>
            <w:vAlign w:val="center"/>
          </w:tcPr>
          <w:p w14:paraId="332301CB" w14:textId="554F6AC1" w:rsidR="00CB1DC7" w:rsidRDefault="006E426C">
            <w:pPr>
              <w:widowControl/>
              <w:spacing w:after="0" w:line="240" w:lineRule="auto"/>
              <w:jc w:val="left"/>
            </w:pPr>
            <w:r w:rsidRPr="006E426C">
              <w:rPr>
                <w:color w:val="222222"/>
                <w:sz w:val="16"/>
              </w:rPr>
              <w:t>Coding artifacts and capture-side camera impairments, including blur, camera shake, focus errors, sensor noise, and lighting-related degradation</w:t>
            </w:r>
          </w:p>
        </w:tc>
      </w:tr>
    </w:tbl>
    <w:p w14:paraId="23D66038" w14:textId="77777777" w:rsidR="00CB1DC7" w:rsidRDefault="00000000">
      <w:pPr>
        <w:spacing w:before="20" w:after="140"/>
        <w:jc w:val="center"/>
      </w:pPr>
      <w:r>
        <w:rPr>
          <w:i/>
          <w:color w:val="666666"/>
          <w:sz w:val="15"/>
        </w:rPr>
        <w:t>Table 3. Structure of the approved ITU-T J.344 recommendation family</w:t>
      </w:r>
    </w:p>
    <w:p w14:paraId="7235F99D" w14:textId="77777777" w:rsidR="00CB1DC7" w:rsidRDefault="00000000">
      <w:pPr>
        <w:widowControl/>
      </w:pPr>
      <w:r>
        <w:rPr>
          <w:color w:val="222222"/>
        </w:rPr>
        <w:t>This structure reflects real deployment conditions. Video degradation is not caused by compression alone; video conferencing, live broadcasting, surveillance, and mobile camera applications are also affected by focus instability, camera motion, low-light noise, and other capture-side impairments.</w:t>
      </w:r>
    </w:p>
    <w:p w14:paraId="1BB601DC" w14:textId="77777777" w:rsidR="00CB1DC7" w:rsidRDefault="00000000">
      <w:pPr>
        <w:widowControl/>
      </w:pPr>
      <w:r>
        <w:rPr>
          <w:color w:val="222222"/>
        </w:rPr>
        <w:t>VQML® was selected as Model A within the J.344 standardization framework. It satisfies the requirements of both J.344.1 and J.344.2. According to the final standardization records, VQML® is the only no-reference model registered across both recommendations and the sole registered model in J.344.2.</w:t>
      </w:r>
    </w:p>
    <w:p w14:paraId="30721849" w14:textId="77777777" w:rsidR="00CB1DC7" w:rsidRDefault="00000000">
      <w:pPr>
        <w:pStyle w:val="2"/>
        <w:spacing w:before="200" w:after="100"/>
      </w:pPr>
      <w:r>
        <w:rPr>
          <w:rFonts w:ascii="Arial" w:eastAsia="Arial" w:hAnsi="Arial"/>
        </w:rPr>
        <w:t>1.5 Standardization and Commercial Significance</w:t>
      </w:r>
    </w:p>
    <w:p w14:paraId="7F77A307" w14:textId="77777777" w:rsidR="00753360" w:rsidRDefault="00000000" w:rsidP="00753360">
      <w:pPr>
        <w:widowControl/>
        <w:rPr>
          <w:rFonts w:eastAsiaTheme="minorEastAsia"/>
          <w:color w:val="222222"/>
        </w:rPr>
      </w:pPr>
      <w:r>
        <w:rPr>
          <w:color w:val="222222"/>
        </w:rPr>
        <w:t>The approved J.344 family gives telecom operators, regulatory authorities, device manufacturers, and digital video service providers a consistent, repeatable, and internationally recognized framework for video quality assessment. A common benchmark reduces ambiguity when comparing networks, devices, applications, and equipment vendors.</w:t>
      </w:r>
    </w:p>
    <w:p w14:paraId="0363DA5C" w14:textId="678BF660" w:rsidR="00753360" w:rsidRDefault="00753360" w:rsidP="00753360">
      <w:pPr>
        <w:widowControl/>
        <w:rPr>
          <w:rFonts w:eastAsiaTheme="minorEastAsia"/>
          <w:b/>
          <w:color w:val="222222"/>
        </w:rPr>
      </w:pPr>
      <w:r w:rsidRPr="00753360">
        <w:rPr>
          <w:color w:val="222222"/>
        </w:rPr>
        <w:t xml:space="preserve">For LIG </w:t>
      </w:r>
      <w:proofErr w:type="spellStart"/>
      <w:r w:rsidRPr="00753360">
        <w:rPr>
          <w:color w:val="222222"/>
        </w:rPr>
        <w:t>Accuver</w:t>
      </w:r>
      <w:proofErr w:type="spellEnd"/>
      <w:r w:rsidRPr="00753360">
        <w:rPr>
          <w:color w:val="222222"/>
        </w:rPr>
        <w:t>, the J.344 standardization process strengthens the commercial credibility of VQML® and provides a common technical basis for deploying its perceptual quality measurements within XCAL-based validation workflows.</w:t>
      </w:r>
    </w:p>
    <w:p w14:paraId="4E3B8094" w14:textId="194190FC" w:rsidR="00CB1DC7" w:rsidRDefault="00000000">
      <w:pPr>
        <w:pStyle w:val="1"/>
        <w:pageBreakBefore/>
        <w:spacing w:before="200" w:after="200"/>
      </w:pPr>
      <w:r>
        <w:rPr>
          <w:rFonts w:ascii="Arial" w:eastAsia="Arial" w:hAnsi="Arial"/>
        </w:rPr>
        <w:lastRenderedPageBreak/>
        <w:t xml:space="preserve">2. Algorithm Overview: LIG </w:t>
      </w:r>
      <w:proofErr w:type="spellStart"/>
      <w:r>
        <w:rPr>
          <w:rFonts w:ascii="Arial" w:eastAsia="Arial" w:hAnsi="Arial"/>
        </w:rPr>
        <w:t>Accuver</w:t>
      </w:r>
      <w:proofErr w:type="spellEnd"/>
      <w:r>
        <w:rPr>
          <w:rFonts w:ascii="Arial" w:eastAsia="Arial" w:hAnsi="Arial"/>
        </w:rPr>
        <w:t xml:space="preserve"> VQML®</w:t>
      </w:r>
    </w:p>
    <w:p w14:paraId="5BC08E32" w14:textId="77777777" w:rsidR="00CB1DC7" w:rsidRDefault="00000000">
      <w:pPr>
        <w:pStyle w:val="2"/>
        <w:spacing w:before="200" w:after="100"/>
      </w:pPr>
      <w:r>
        <w:rPr>
          <w:rFonts w:ascii="Arial" w:eastAsia="Arial" w:hAnsi="Arial"/>
        </w:rPr>
        <w:t>2.1 What Is VQML®?</w:t>
      </w:r>
    </w:p>
    <w:p w14:paraId="051C0B9B" w14:textId="77777777" w:rsidR="00CB1DC7" w:rsidRDefault="00000000">
      <w:pPr>
        <w:widowControl/>
      </w:pPr>
      <w:r>
        <w:rPr>
          <w:color w:val="222222"/>
        </w:rPr>
        <w:t xml:space="preserve">VQML® (Video Quality Machine Learning) is LIG </w:t>
      </w:r>
      <w:proofErr w:type="spellStart"/>
      <w:r>
        <w:rPr>
          <w:color w:val="222222"/>
        </w:rPr>
        <w:t>Accuver’s</w:t>
      </w:r>
      <w:proofErr w:type="spellEnd"/>
      <w:r>
        <w:rPr>
          <w:color w:val="222222"/>
        </w:rPr>
        <w:t xml:space="preserve"> proprietary AI-based no-reference video quality assessment engine. It estimates human-perceived quality using decoded RGB frames from the received video and outputs a predicted Mean Opinion Score (MOS) on a 1-to-5 scale: 1 Bad, 2 Poor, 3 Fair, 4 Good, and 5 Excellent.</w:t>
      </w:r>
    </w:p>
    <w:p w14:paraId="1FF5DAF4" w14:textId="77777777" w:rsidR="00CB1DC7" w:rsidRDefault="00000000">
      <w:pPr>
        <w:widowControl/>
        <w:rPr>
          <w:rFonts w:eastAsiaTheme="minorEastAsia"/>
          <w:color w:val="222222"/>
        </w:rPr>
      </w:pPr>
      <w:r>
        <w:rPr>
          <w:color w:val="222222"/>
        </w:rPr>
        <w:t>The approved J.344 standardization scope focuses on Full HD signals. The commercial VQML® implementation has additionally been evaluated across resolutions from 144p to 2160p (4K UHD) and across major codec formats, including H.264, H.265/HEVC, and AV1. These broader commercial validation conditions are distinct from the formal J.344 evaluation scope.</w:t>
      </w:r>
    </w:p>
    <w:p w14:paraId="0F3C69B7" w14:textId="77777777" w:rsidR="00CB1DC7" w:rsidRDefault="00000000">
      <w:pPr>
        <w:pStyle w:val="2"/>
        <w:spacing w:before="200" w:after="100"/>
      </w:pPr>
      <w:r>
        <w:rPr>
          <w:rFonts w:ascii="Arial" w:eastAsia="Arial" w:hAnsi="Arial"/>
        </w:rPr>
        <w:t>2.2 Input and Output Structure</w:t>
      </w:r>
    </w:p>
    <w:p w14:paraId="1BB05345" w14:textId="77777777" w:rsidR="00CB1DC7" w:rsidRDefault="00000000">
      <w:pPr>
        <w:keepNext/>
        <w:spacing w:before="60" w:after="20"/>
        <w:jc w:val="center"/>
      </w:pPr>
      <w:r>
        <w:rPr>
          <w:noProof/>
        </w:rPr>
        <w:drawing>
          <wp:inline distT="0" distB="0" distL="0" distR="0" wp14:anchorId="329A2D0A" wp14:editId="5FBEB099">
            <wp:extent cx="5897880" cy="1843088"/>
            <wp:effectExtent l="0" t="0" r="0" b="0"/>
            <wp:docPr id="1599907815" name="Picture 1599907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qml_input_output_refined.png"/>
                    <pic:cNvPicPr/>
                  </pic:nvPicPr>
                  <pic:blipFill>
                    <a:blip r:embed="rId11"/>
                    <a:stretch>
                      <a:fillRect/>
                    </a:stretch>
                  </pic:blipFill>
                  <pic:spPr>
                    <a:xfrm>
                      <a:off x="0" y="0"/>
                      <a:ext cx="5897880" cy="1843088"/>
                    </a:xfrm>
                    <a:prstGeom prst="rect">
                      <a:avLst/>
                    </a:prstGeom>
                  </pic:spPr>
                </pic:pic>
              </a:graphicData>
            </a:graphic>
          </wp:inline>
        </w:drawing>
      </w:r>
    </w:p>
    <w:p w14:paraId="567743F9" w14:textId="77777777" w:rsidR="00CB1DC7" w:rsidRDefault="00000000">
      <w:pPr>
        <w:spacing w:before="20" w:after="140"/>
        <w:jc w:val="center"/>
      </w:pPr>
      <w:r>
        <w:rPr>
          <w:i/>
          <w:color w:val="666666"/>
          <w:sz w:val="15"/>
        </w:rPr>
        <w:t>Figure 1. VQML® input, processing, and predicted MOS output</w:t>
      </w:r>
    </w:p>
    <w:p w14:paraId="3877935B" w14:textId="77777777" w:rsidR="00CB1DC7" w:rsidRPr="006E426C" w:rsidRDefault="00000000">
      <w:pPr>
        <w:spacing w:after="60" w:line="259" w:lineRule="auto"/>
        <w:ind w:left="360" w:hanging="230"/>
        <w:rPr>
          <w:szCs w:val="19"/>
        </w:rPr>
      </w:pPr>
      <w:r w:rsidRPr="006E426C">
        <w:rPr>
          <w:b/>
          <w:color w:val="124191"/>
          <w:szCs w:val="19"/>
        </w:rPr>
        <w:t xml:space="preserve">• </w:t>
      </w:r>
      <w:r w:rsidRPr="006E426C">
        <w:rPr>
          <w:color w:val="222222"/>
          <w:szCs w:val="19"/>
        </w:rPr>
        <w:t>Input: Decoded RGB frames captured from the received video through screen recording, HDMI capture, or virtual-camera interfaces.</w:t>
      </w:r>
    </w:p>
    <w:p w14:paraId="5E5CD31D" w14:textId="77777777" w:rsidR="00CB1DC7" w:rsidRPr="006E426C" w:rsidRDefault="00000000">
      <w:pPr>
        <w:spacing w:after="60" w:line="259" w:lineRule="auto"/>
        <w:ind w:left="360" w:hanging="230"/>
        <w:rPr>
          <w:szCs w:val="19"/>
        </w:rPr>
      </w:pPr>
      <w:r w:rsidRPr="006E426C">
        <w:rPr>
          <w:b/>
          <w:color w:val="124191"/>
          <w:szCs w:val="19"/>
        </w:rPr>
        <w:t xml:space="preserve">• </w:t>
      </w:r>
      <w:r w:rsidRPr="006E426C">
        <w:rPr>
          <w:color w:val="222222"/>
          <w:szCs w:val="19"/>
        </w:rPr>
        <w:t>Processing: Deep learning modules analyze spatial artifacts, temporal consistency, content context, and device-related viewing conditions.</w:t>
      </w:r>
    </w:p>
    <w:p w14:paraId="2A1BDD32" w14:textId="7E575484" w:rsidR="00CB1DC7" w:rsidRPr="006E426C" w:rsidRDefault="00000000">
      <w:pPr>
        <w:spacing w:after="60" w:line="259" w:lineRule="auto"/>
        <w:ind w:left="360" w:hanging="230"/>
        <w:rPr>
          <w:szCs w:val="19"/>
        </w:rPr>
      </w:pPr>
      <w:r w:rsidRPr="006E426C">
        <w:rPr>
          <w:b/>
          <w:color w:val="124191"/>
          <w:szCs w:val="19"/>
        </w:rPr>
        <w:t xml:space="preserve">• </w:t>
      </w:r>
      <w:r w:rsidRPr="006E426C">
        <w:rPr>
          <w:color w:val="222222"/>
          <w:szCs w:val="19"/>
        </w:rPr>
        <w:t xml:space="preserve">Output: </w:t>
      </w:r>
      <w:r w:rsidR="000718AD">
        <w:rPr>
          <w:rFonts w:eastAsiaTheme="minorEastAsia" w:hint="eastAsia"/>
          <w:color w:val="222222"/>
          <w:szCs w:val="19"/>
        </w:rPr>
        <w:t>Time-based</w:t>
      </w:r>
      <w:r w:rsidRPr="006E426C">
        <w:rPr>
          <w:color w:val="222222"/>
          <w:szCs w:val="19"/>
        </w:rPr>
        <w:t xml:space="preserve"> MOS estimates and a session-level average MOS, </w:t>
      </w:r>
      <w:proofErr w:type="gramStart"/>
      <w:r w:rsidRPr="006E426C">
        <w:rPr>
          <w:color w:val="222222"/>
          <w:szCs w:val="19"/>
        </w:rPr>
        <w:t>with supporting</w:t>
      </w:r>
      <w:proofErr w:type="gramEnd"/>
      <w:r w:rsidRPr="006E426C">
        <w:rPr>
          <w:color w:val="222222"/>
          <w:szCs w:val="19"/>
        </w:rPr>
        <w:t xml:space="preserve"> sub-scores for specific quality dimensions.</w:t>
      </w:r>
    </w:p>
    <w:p w14:paraId="0A01A2F4" w14:textId="77777777" w:rsidR="00CB1DC7" w:rsidRDefault="00000000">
      <w:pPr>
        <w:widowControl/>
      </w:pPr>
      <w:r>
        <w:rPr>
          <w:color w:val="222222"/>
        </w:rPr>
        <w:t>This streamlined input-output structure enables black-box testing of supported video, social-media, conferencing, and communication applications without requiring modification of the target application or access to its internal delivery metadata.</w:t>
      </w:r>
    </w:p>
    <w:p w14:paraId="7BD531AB" w14:textId="77777777" w:rsidR="00CB1DC7" w:rsidRDefault="00000000">
      <w:pPr>
        <w:pStyle w:val="2"/>
        <w:spacing w:before="200" w:after="100"/>
      </w:pPr>
      <w:r>
        <w:rPr>
          <w:rFonts w:ascii="Arial" w:eastAsia="Arial" w:hAnsi="Arial"/>
        </w:rPr>
        <w:lastRenderedPageBreak/>
        <w:t>2.3 Model Architecture: Evolution from CNN + GRU to Transformer + CNN</w:t>
      </w:r>
    </w:p>
    <w:p w14:paraId="67B4C6AE" w14:textId="77777777" w:rsidR="001A47EB" w:rsidRDefault="00000000" w:rsidP="001A47EB">
      <w:pPr>
        <w:widowControl/>
        <w:rPr>
          <w:rFonts w:eastAsiaTheme="minorEastAsia"/>
        </w:rPr>
      </w:pPr>
      <w:r>
        <w:rPr>
          <w:color w:val="222222"/>
        </w:rPr>
        <w:t xml:space="preserve">Earlier VQA architectures commonly used Convolutional Neural Networks (CNNs) to extract localized spatial features—such as edges, textures, </w:t>
      </w:r>
      <w:proofErr w:type="spellStart"/>
      <w:r>
        <w:rPr>
          <w:color w:val="222222"/>
        </w:rPr>
        <w:t>blockiness</w:t>
      </w:r>
      <w:proofErr w:type="spellEnd"/>
      <w:r>
        <w:rPr>
          <w:color w:val="222222"/>
        </w:rPr>
        <w:t>, and blur—from individual frames, while Gated Recurrent Units (GRUs) modeled short-term temporal changes. This structure was effective for basic coding artifacts but had limited ability to represent broader scene context, long-range temporal relationships, and semantic intent.</w:t>
      </w:r>
    </w:p>
    <w:p w14:paraId="4B71F463" w14:textId="08563949" w:rsidR="00CB1DC7" w:rsidRPr="000B3316" w:rsidRDefault="003378BB" w:rsidP="000B3316">
      <w:pPr>
        <w:widowControl/>
        <w:rPr>
          <w:rFonts w:eastAsiaTheme="minorEastAsia"/>
        </w:rPr>
      </w:pPr>
      <w:r w:rsidRPr="003378BB">
        <w:rPr>
          <w:color w:val="222222"/>
        </w:rPr>
        <w:t xml:space="preserve">VQML® uses </w:t>
      </w:r>
      <w:proofErr w:type="gramStart"/>
      <w:r w:rsidRPr="003378BB">
        <w:rPr>
          <w:color w:val="222222"/>
        </w:rPr>
        <w:t>a Transformer</w:t>
      </w:r>
      <w:proofErr w:type="gramEnd"/>
      <w:r w:rsidRPr="003378BB">
        <w:rPr>
          <w:color w:val="222222"/>
        </w:rPr>
        <w:t xml:space="preserve"> + CNN hybrid architecture to analyze video impairments based on the semantic, technical, and aesthetic characteristics of the content. CNN-based components detect fine-grained technical artifacts, while self-attention modules interpret broader scene context and aesthetic intent, helping distinguish intentional characteristics—such as artistic blur, fast motion, or dark scenes—from actual quality degradation. The model then accounts for device-specific factors that affect perceived visual quality and synthesizes these results into a final MOS prediction</w:t>
      </w:r>
      <w:r w:rsidR="000B3316">
        <w:rPr>
          <w:rFonts w:eastAsiaTheme="minorEastAsia" w:hint="eastAsia"/>
          <w:color w:val="222222"/>
        </w:rPr>
        <w:t>.</w:t>
      </w:r>
    </w:p>
    <w:p w14:paraId="6DB9658F" w14:textId="77777777" w:rsidR="00CB1DC7" w:rsidRDefault="00000000">
      <w:pPr>
        <w:pStyle w:val="2"/>
        <w:spacing w:before="200" w:after="100"/>
      </w:pPr>
      <w:r>
        <w:rPr>
          <w:rFonts w:ascii="Arial" w:eastAsia="Arial" w:hAnsi="Arial"/>
        </w:rPr>
        <w:t>2.4 Multi-Score VQA Architecture</w:t>
      </w:r>
    </w:p>
    <w:p w14:paraId="7C7A18DB" w14:textId="77777777" w:rsidR="00CB1DC7" w:rsidRDefault="00000000">
      <w:pPr>
        <w:widowControl/>
        <w:rPr>
          <w:rFonts w:eastAsiaTheme="minorEastAsia"/>
          <w:color w:val="222222"/>
        </w:rPr>
      </w:pPr>
      <w:r>
        <w:rPr>
          <w:color w:val="222222"/>
        </w:rPr>
        <w:t>Rather than producing an undifferentiated black-box score, VQML® evaluates multiple dimensions of visual quality and synthesizes them into the final predicted MOS:</w:t>
      </w:r>
    </w:p>
    <w:p w14:paraId="2E994B3A" w14:textId="5A5C079D" w:rsidR="000B3316" w:rsidRDefault="000B3316" w:rsidP="00076FFB">
      <w:pPr>
        <w:widowControl/>
        <w:jc w:val="center"/>
      </w:pPr>
      <w:r w:rsidRPr="003378BB">
        <w:rPr>
          <w:color w:val="222222"/>
        </w:rPr>
        <w:t>.</w:t>
      </w:r>
      <w:r w:rsidR="00076FFB" w:rsidRPr="00076FFB">
        <w:rPr>
          <w:noProof/>
          <w14:ligatures w14:val="standardContextual"/>
        </w:rPr>
        <w:t xml:space="preserve"> </w:t>
      </w:r>
      <w:r w:rsidR="00076FFB" w:rsidRPr="00076FFB">
        <w:rPr>
          <w:noProof/>
          <w:color w:val="222222"/>
        </w:rPr>
        <w:drawing>
          <wp:inline distT="0" distB="0" distL="0" distR="0" wp14:anchorId="22E101BE" wp14:editId="24A177EE">
            <wp:extent cx="4459361" cy="2520000"/>
            <wp:effectExtent l="0" t="0" r="0" b="0"/>
            <wp:docPr id="2" name="그림 1">
              <a:extLst xmlns:a="http://schemas.openxmlformats.org/drawingml/2006/main">
                <a:ext uri="{FF2B5EF4-FFF2-40B4-BE49-F238E27FC236}">
                  <a16:creationId xmlns:a16="http://schemas.microsoft.com/office/drawing/2014/main" id="{9ED42851-1C93-341B-F9C6-4E8515CEBB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그림 1">
                      <a:extLst>
                        <a:ext uri="{FF2B5EF4-FFF2-40B4-BE49-F238E27FC236}">
                          <a16:creationId xmlns:a16="http://schemas.microsoft.com/office/drawing/2014/main" id="{9ED42851-1C93-341B-F9C6-4E8515CEBB8D}"/>
                        </a:ext>
                      </a:extLst>
                    </pic:cNvPr>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459361" cy="2520000"/>
                    </a:xfrm>
                    <a:prstGeom prst="rect">
                      <a:avLst/>
                    </a:prstGeom>
                    <a:noFill/>
                    <a:ln>
                      <a:noFill/>
                    </a:ln>
                  </pic:spPr>
                </pic:pic>
              </a:graphicData>
            </a:graphic>
          </wp:inline>
        </w:drawing>
      </w:r>
    </w:p>
    <w:p w14:paraId="49E7CCE8" w14:textId="77777777" w:rsidR="000B3316" w:rsidRDefault="000B3316" w:rsidP="000B3316">
      <w:pPr>
        <w:spacing w:before="20" w:after="140"/>
        <w:jc w:val="center"/>
      </w:pPr>
      <w:r>
        <w:rPr>
          <w:i/>
          <w:color w:val="666666"/>
          <w:sz w:val="15"/>
        </w:rPr>
        <w:t>Figure 2. Evolution from a conventional single-score architecture to the VQML® multi-score architecture</w:t>
      </w:r>
    </w:p>
    <w:tbl>
      <w:tblPr>
        <w:tblW w:w="0" w:type="auto"/>
        <w:jc w:val="center"/>
        <w:tblLayout w:type="fixed"/>
        <w:tblLook w:val="04A0" w:firstRow="1" w:lastRow="0" w:firstColumn="1" w:lastColumn="0" w:noHBand="0" w:noVBand="1"/>
      </w:tblPr>
      <w:tblGrid>
        <w:gridCol w:w="1944"/>
        <w:gridCol w:w="3240"/>
        <w:gridCol w:w="4320"/>
      </w:tblGrid>
      <w:tr w:rsidR="00CB1DC7" w14:paraId="47BF5D82" w14:textId="77777777">
        <w:trPr>
          <w:cantSplit/>
          <w:tblHeader/>
          <w:jc w:val="center"/>
        </w:trPr>
        <w:tc>
          <w:tcPr>
            <w:tcW w:w="1944" w:type="dxa"/>
            <w:tcBorders>
              <w:top w:val="single" w:sz="4" w:space="0" w:color="B7B7B7"/>
              <w:left w:val="single" w:sz="4" w:space="0" w:color="B7B7B7"/>
              <w:bottom w:val="single" w:sz="4" w:space="0" w:color="B7B7B7"/>
              <w:right w:val="single" w:sz="4" w:space="0" w:color="B7B7B7"/>
            </w:tcBorders>
            <w:shd w:val="clear" w:color="auto" w:fill="E7E6E6"/>
            <w:tcMar>
              <w:top w:w="70" w:type="dxa"/>
              <w:left w:w="65" w:type="dxa"/>
              <w:bottom w:w="70" w:type="dxa"/>
              <w:right w:w="65" w:type="dxa"/>
            </w:tcMar>
            <w:vAlign w:val="center"/>
          </w:tcPr>
          <w:p w14:paraId="731877C6" w14:textId="77777777" w:rsidR="00CB1DC7" w:rsidRPr="003378BB" w:rsidRDefault="00000000">
            <w:pPr>
              <w:widowControl/>
              <w:spacing w:after="0" w:line="240" w:lineRule="auto"/>
              <w:jc w:val="left"/>
              <w:rPr>
                <w:sz w:val="16"/>
                <w:szCs w:val="16"/>
              </w:rPr>
            </w:pPr>
            <w:r w:rsidRPr="003378BB">
              <w:rPr>
                <w:b/>
                <w:color w:val="124191"/>
                <w:sz w:val="16"/>
                <w:szCs w:val="16"/>
              </w:rPr>
              <w:t>Module</w:t>
            </w:r>
          </w:p>
        </w:tc>
        <w:tc>
          <w:tcPr>
            <w:tcW w:w="3240" w:type="dxa"/>
            <w:tcBorders>
              <w:top w:val="single" w:sz="4" w:space="0" w:color="B7B7B7"/>
              <w:left w:val="single" w:sz="4" w:space="0" w:color="B7B7B7"/>
              <w:bottom w:val="single" w:sz="4" w:space="0" w:color="B7B7B7"/>
              <w:right w:val="single" w:sz="4" w:space="0" w:color="B7B7B7"/>
            </w:tcBorders>
            <w:shd w:val="clear" w:color="auto" w:fill="E7E6E6"/>
            <w:tcMar>
              <w:top w:w="70" w:type="dxa"/>
              <w:left w:w="65" w:type="dxa"/>
              <w:bottom w:w="70" w:type="dxa"/>
              <w:right w:w="65" w:type="dxa"/>
            </w:tcMar>
            <w:vAlign w:val="center"/>
          </w:tcPr>
          <w:p w14:paraId="0CB7EEA1" w14:textId="77777777" w:rsidR="00CB1DC7" w:rsidRPr="003378BB" w:rsidRDefault="00000000">
            <w:pPr>
              <w:widowControl/>
              <w:spacing w:after="0" w:line="240" w:lineRule="auto"/>
              <w:jc w:val="left"/>
              <w:rPr>
                <w:sz w:val="16"/>
                <w:szCs w:val="16"/>
              </w:rPr>
            </w:pPr>
            <w:r w:rsidRPr="003378BB">
              <w:rPr>
                <w:b/>
                <w:color w:val="124191"/>
                <w:sz w:val="16"/>
                <w:szCs w:val="16"/>
              </w:rPr>
              <w:t>Main Function</w:t>
            </w:r>
          </w:p>
        </w:tc>
        <w:tc>
          <w:tcPr>
            <w:tcW w:w="4320" w:type="dxa"/>
            <w:tcBorders>
              <w:top w:val="single" w:sz="4" w:space="0" w:color="B7B7B7"/>
              <w:left w:val="single" w:sz="4" w:space="0" w:color="B7B7B7"/>
              <w:bottom w:val="single" w:sz="4" w:space="0" w:color="B7B7B7"/>
              <w:right w:val="single" w:sz="4" w:space="0" w:color="B7B7B7"/>
            </w:tcBorders>
            <w:shd w:val="clear" w:color="auto" w:fill="E7E6E6"/>
            <w:tcMar>
              <w:top w:w="70" w:type="dxa"/>
              <w:left w:w="65" w:type="dxa"/>
              <w:bottom w:w="70" w:type="dxa"/>
              <w:right w:w="65" w:type="dxa"/>
            </w:tcMar>
            <w:vAlign w:val="center"/>
          </w:tcPr>
          <w:p w14:paraId="074A482B" w14:textId="77777777" w:rsidR="00CB1DC7" w:rsidRPr="003378BB" w:rsidRDefault="00000000">
            <w:pPr>
              <w:widowControl/>
              <w:spacing w:after="0" w:line="240" w:lineRule="auto"/>
              <w:jc w:val="left"/>
              <w:rPr>
                <w:sz w:val="16"/>
                <w:szCs w:val="16"/>
              </w:rPr>
            </w:pPr>
            <w:r w:rsidRPr="003378BB">
              <w:rPr>
                <w:b/>
                <w:color w:val="124191"/>
                <w:sz w:val="16"/>
                <w:szCs w:val="16"/>
              </w:rPr>
              <w:t>Role in MOS Prediction</w:t>
            </w:r>
          </w:p>
        </w:tc>
      </w:tr>
      <w:tr w:rsidR="00CB1DC7" w14:paraId="5EBF8CEB" w14:textId="77777777">
        <w:trPr>
          <w:cantSplit/>
          <w:jc w:val="center"/>
        </w:trPr>
        <w:tc>
          <w:tcPr>
            <w:tcW w:w="1944" w:type="dxa"/>
            <w:tcBorders>
              <w:top w:val="single" w:sz="4" w:space="0" w:color="B7B7B7"/>
              <w:left w:val="single" w:sz="4" w:space="0" w:color="B7B7B7"/>
              <w:bottom w:val="single" w:sz="4" w:space="0" w:color="B7B7B7"/>
              <w:right w:val="single" w:sz="4" w:space="0" w:color="B7B7B7"/>
            </w:tcBorders>
            <w:tcMar>
              <w:top w:w="70" w:type="dxa"/>
              <w:left w:w="65" w:type="dxa"/>
              <w:bottom w:w="70" w:type="dxa"/>
              <w:right w:w="65" w:type="dxa"/>
            </w:tcMar>
            <w:vAlign w:val="center"/>
          </w:tcPr>
          <w:p w14:paraId="13730D6F" w14:textId="77777777" w:rsidR="00CB1DC7" w:rsidRPr="003378BB" w:rsidRDefault="00000000">
            <w:pPr>
              <w:widowControl/>
              <w:spacing w:after="0" w:line="240" w:lineRule="auto"/>
              <w:jc w:val="left"/>
              <w:rPr>
                <w:sz w:val="16"/>
                <w:szCs w:val="16"/>
              </w:rPr>
            </w:pPr>
            <w:r w:rsidRPr="003378BB">
              <w:rPr>
                <w:color w:val="222222"/>
                <w:sz w:val="16"/>
                <w:szCs w:val="16"/>
              </w:rPr>
              <w:t>Content-Based Score</w:t>
            </w:r>
          </w:p>
        </w:tc>
        <w:tc>
          <w:tcPr>
            <w:tcW w:w="3240" w:type="dxa"/>
            <w:tcBorders>
              <w:top w:val="single" w:sz="4" w:space="0" w:color="B7B7B7"/>
              <w:left w:val="single" w:sz="4" w:space="0" w:color="B7B7B7"/>
              <w:bottom w:val="single" w:sz="4" w:space="0" w:color="B7B7B7"/>
              <w:right w:val="single" w:sz="4" w:space="0" w:color="B7B7B7"/>
            </w:tcBorders>
            <w:tcMar>
              <w:top w:w="70" w:type="dxa"/>
              <w:left w:w="65" w:type="dxa"/>
              <w:bottom w:w="70" w:type="dxa"/>
              <w:right w:w="65" w:type="dxa"/>
            </w:tcMar>
            <w:vAlign w:val="center"/>
          </w:tcPr>
          <w:p w14:paraId="3FD7208F" w14:textId="77777777" w:rsidR="00CB1DC7" w:rsidRPr="003378BB" w:rsidRDefault="00000000">
            <w:pPr>
              <w:widowControl/>
              <w:spacing w:after="0" w:line="240" w:lineRule="auto"/>
              <w:jc w:val="left"/>
              <w:rPr>
                <w:sz w:val="16"/>
                <w:szCs w:val="16"/>
              </w:rPr>
            </w:pPr>
            <w:r w:rsidRPr="003378BB">
              <w:rPr>
                <w:color w:val="222222"/>
                <w:sz w:val="16"/>
                <w:szCs w:val="16"/>
              </w:rPr>
              <w:t>Analyzes scene complexity, motion dynamics, and semantic characteristics.</w:t>
            </w:r>
          </w:p>
        </w:tc>
        <w:tc>
          <w:tcPr>
            <w:tcW w:w="4320" w:type="dxa"/>
            <w:tcBorders>
              <w:top w:val="single" w:sz="4" w:space="0" w:color="B7B7B7"/>
              <w:left w:val="single" w:sz="4" w:space="0" w:color="B7B7B7"/>
              <w:bottom w:val="single" w:sz="4" w:space="0" w:color="B7B7B7"/>
              <w:right w:val="single" w:sz="4" w:space="0" w:color="B7B7B7"/>
            </w:tcBorders>
            <w:tcMar>
              <w:top w:w="70" w:type="dxa"/>
              <w:left w:w="65" w:type="dxa"/>
              <w:bottom w:w="70" w:type="dxa"/>
              <w:right w:w="65" w:type="dxa"/>
            </w:tcMar>
            <w:vAlign w:val="center"/>
          </w:tcPr>
          <w:p w14:paraId="3B08E17F" w14:textId="77777777" w:rsidR="00CB1DC7" w:rsidRPr="003378BB" w:rsidRDefault="00000000">
            <w:pPr>
              <w:widowControl/>
              <w:spacing w:after="0" w:line="240" w:lineRule="auto"/>
              <w:jc w:val="left"/>
              <w:rPr>
                <w:sz w:val="16"/>
                <w:szCs w:val="16"/>
              </w:rPr>
            </w:pPr>
            <w:r w:rsidRPr="003378BB">
              <w:rPr>
                <w:color w:val="222222"/>
                <w:sz w:val="16"/>
                <w:szCs w:val="16"/>
              </w:rPr>
              <w:t>Reduces false penalties by distinguishing intentional visual properties from technical distortion.</w:t>
            </w:r>
          </w:p>
        </w:tc>
      </w:tr>
      <w:tr w:rsidR="00CB1DC7" w14:paraId="2290EEE0" w14:textId="77777777">
        <w:trPr>
          <w:cantSplit/>
          <w:jc w:val="center"/>
        </w:trPr>
        <w:tc>
          <w:tcPr>
            <w:tcW w:w="1944" w:type="dxa"/>
            <w:tcBorders>
              <w:top w:val="single" w:sz="4" w:space="0" w:color="B7B7B7"/>
              <w:left w:val="single" w:sz="4" w:space="0" w:color="B7B7B7"/>
              <w:bottom w:val="single" w:sz="4" w:space="0" w:color="B7B7B7"/>
              <w:right w:val="single" w:sz="4" w:space="0" w:color="B7B7B7"/>
            </w:tcBorders>
            <w:shd w:val="clear" w:color="auto" w:fill="F7F9FB"/>
            <w:tcMar>
              <w:top w:w="70" w:type="dxa"/>
              <w:left w:w="65" w:type="dxa"/>
              <w:bottom w:w="70" w:type="dxa"/>
              <w:right w:w="65" w:type="dxa"/>
            </w:tcMar>
            <w:vAlign w:val="center"/>
          </w:tcPr>
          <w:p w14:paraId="758DEDA8" w14:textId="77777777" w:rsidR="00CB1DC7" w:rsidRPr="003378BB" w:rsidRDefault="00000000">
            <w:pPr>
              <w:widowControl/>
              <w:spacing w:after="0" w:line="240" w:lineRule="auto"/>
              <w:jc w:val="left"/>
              <w:rPr>
                <w:sz w:val="16"/>
                <w:szCs w:val="16"/>
              </w:rPr>
            </w:pPr>
            <w:r w:rsidRPr="003378BB">
              <w:rPr>
                <w:color w:val="222222"/>
                <w:sz w:val="16"/>
                <w:szCs w:val="16"/>
              </w:rPr>
              <w:t>Signal Quality Score</w:t>
            </w:r>
          </w:p>
        </w:tc>
        <w:tc>
          <w:tcPr>
            <w:tcW w:w="3240" w:type="dxa"/>
            <w:tcBorders>
              <w:top w:val="single" w:sz="4" w:space="0" w:color="B7B7B7"/>
              <w:left w:val="single" w:sz="4" w:space="0" w:color="B7B7B7"/>
              <w:bottom w:val="single" w:sz="4" w:space="0" w:color="B7B7B7"/>
              <w:right w:val="single" w:sz="4" w:space="0" w:color="B7B7B7"/>
            </w:tcBorders>
            <w:shd w:val="clear" w:color="auto" w:fill="F7F9FB"/>
            <w:tcMar>
              <w:top w:w="70" w:type="dxa"/>
              <w:left w:w="65" w:type="dxa"/>
              <w:bottom w:w="70" w:type="dxa"/>
              <w:right w:w="65" w:type="dxa"/>
            </w:tcMar>
            <w:vAlign w:val="center"/>
          </w:tcPr>
          <w:p w14:paraId="60E34183" w14:textId="77777777" w:rsidR="00CB1DC7" w:rsidRPr="003378BB" w:rsidRDefault="00000000">
            <w:pPr>
              <w:widowControl/>
              <w:spacing w:after="0" w:line="240" w:lineRule="auto"/>
              <w:jc w:val="left"/>
              <w:rPr>
                <w:sz w:val="16"/>
                <w:szCs w:val="16"/>
              </w:rPr>
            </w:pPr>
            <w:r w:rsidRPr="003378BB">
              <w:rPr>
                <w:color w:val="222222"/>
                <w:sz w:val="16"/>
                <w:szCs w:val="16"/>
              </w:rPr>
              <w:t>Quantifies technical degradation associated with compression, quantization, transmission loss, and playback interruption.</w:t>
            </w:r>
          </w:p>
        </w:tc>
        <w:tc>
          <w:tcPr>
            <w:tcW w:w="4320" w:type="dxa"/>
            <w:tcBorders>
              <w:top w:val="single" w:sz="4" w:space="0" w:color="B7B7B7"/>
              <w:left w:val="single" w:sz="4" w:space="0" w:color="B7B7B7"/>
              <w:bottom w:val="single" w:sz="4" w:space="0" w:color="B7B7B7"/>
              <w:right w:val="single" w:sz="4" w:space="0" w:color="B7B7B7"/>
            </w:tcBorders>
            <w:shd w:val="clear" w:color="auto" w:fill="F7F9FB"/>
            <w:tcMar>
              <w:top w:w="70" w:type="dxa"/>
              <w:left w:w="65" w:type="dxa"/>
              <w:bottom w:w="70" w:type="dxa"/>
              <w:right w:w="65" w:type="dxa"/>
            </w:tcMar>
            <w:vAlign w:val="center"/>
          </w:tcPr>
          <w:p w14:paraId="0955259F" w14:textId="77777777" w:rsidR="00CB1DC7" w:rsidRPr="003378BB" w:rsidRDefault="00000000">
            <w:pPr>
              <w:widowControl/>
              <w:spacing w:after="0" w:line="240" w:lineRule="auto"/>
              <w:jc w:val="left"/>
              <w:rPr>
                <w:sz w:val="16"/>
                <w:szCs w:val="16"/>
              </w:rPr>
            </w:pPr>
            <w:r w:rsidRPr="003378BB">
              <w:rPr>
                <w:color w:val="222222"/>
                <w:sz w:val="16"/>
                <w:szCs w:val="16"/>
              </w:rPr>
              <w:t xml:space="preserve">Detects artifacts such as </w:t>
            </w:r>
            <w:proofErr w:type="spellStart"/>
            <w:r w:rsidRPr="003378BB">
              <w:rPr>
                <w:color w:val="222222"/>
                <w:sz w:val="16"/>
                <w:szCs w:val="16"/>
              </w:rPr>
              <w:t>macroblocking</w:t>
            </w:r>
            <w:proofErr w:type="spellEnd"/>
            <w:r w:rsidRPr="003378BB">
              <w:rPr>
                <w:color w:val="222222"/>
                <w:sz w:val="16"/>
                <w:szCs w:val="16"/>
              </w:rPr>
              <w:t>, mosquito noise, ringing, and freezing.</w:t>
            </w:r>
          </w:p>
        </w:tc>
      </w:tr>
      <w:tr w:rsidR="00CB1DC7" w14:paraId="4E265A60" w14:textId="77777777">
        <w:trPr>
          <w:cantSplit/>
          <w:jc w:val="center"/>
        </w:trPr>
        <w:tc>
          <w:tcPr>
            <w:tcW w:w="1944" w:type="dxa"/>
            <w:tcBorders>
              <w:top w:val="single" w:sz="4" w:space="0" w:color="B7B7B7"/>
              <w:left w:val="single" w:sz="4" w:space="0" w:color="B7B7B7"/>
              <w:bottom w:val="single" w:sz="4" w:space="0" w:color="B7B7B7"/>
              <w:right w:val="single" w:sz="4" w:space="0" w:color="B7B7B7"/>
            </w:tcBorders>
            <w:tcMar>
              <w:top w:w="70" w:type="dxa"/>
              <w:left w:w="65" w:type="dxa"/>
              <w:bottom w:w="70" w:type="dxa"/>
              <w:right w:w="65" w:type="dxa"/>
            </w:tcMar>
            <w:vAlign w:val="center"/>
          </w:tcPr>
          <w:p w14:paraId="2D28BE00" w14:textId="19AA9D9F" w:rsidR="00CB1DC7" w:rsidRPr="003378BB" w:rsidRDefault="00706B7A">
            <w:pPr>
              <w:widowControl/>
              <w:spacing w:after="0" w:line="240" w:lineRule="auto"/>
              <w:jc w:val="left"/>
              <w:rPr>
                <w:sz w:val="16"/>
                <w:szCs w:val="16"/>
              </w:rPr>
            </w:pPr>
            <w:r>
              <w:rPr>
                <w:rFonts w:eastAsiaTheme="minorEastAsia" w:hint="eastAsia"/>
                <w:color w:val="222222"/>
                <w:sz w:val="16"/>
                <w:szCs w:val="16"/>
              </w:rPr>
              <w:lastRenderedPageBreak/>
              <w:t xml:space="preserve">Visual </w:t>
            </w:r>
            <w:r w:rsidRPr="003378BB">
              <w:rPr>
                <w:color w:val="222222"/>
                <w:sz w:val="16"/>
                <w:szCs w:val="16"/>
              </w:rPr>
              <w:t>Quality Score</w:t>
            </w:r>
          </w:p>
        </w:tc>
        <w:tc>
          <w:tcPr>
            <w:tcW w:w="3240" w:type="dxa"/>
            <w:tcBorders>
              <w:top w:val="single" w:sz="4" w:space="0" w:color="B7B7B7"/>
              <w:left w:val="single" w:sz="4" w:space="0" w:color="B7B7B7"/>
              <w:bottom w:val="single" w:sz="4" w:space="0" w:color="B7B7B7"/>
              <w:right w:val="single" w:sz="4" w:space="0" w:color="B7B7B7"/>
            </w:tcBorders>
            <w:tcMar>
              <w:top w:w="70" w:type="dxa"/>
              <w:left w:w="65" w:type="dxa"/>
              <w:bottom w:w="70" w:type="dxa"/>
              <w:right w:w="65" w:type="dxa"/>
            </w:tcMar>
            <w:vAlign w:val="center"/>
          </w:tcPr>
          <w:p w14:paraId="0F0DC970" w14:textId="77777777" w:rsidR="00CB1DC7" w:rsidRPr="003378BB" w:rsidRDefault="00000000">
            <w:pPr>
              <w:widowControl/>
              <w:spacing w:after="0" w:line="240" w:lineRule="auto"/>
              <w:jc w:val="left"/>
              <w:rPr>
                <w:sz w:val="16"/>
                <w:szCs w:val="16"/>
              </w:rPr>
            </w:pPr>
            <w:r w:rsidRPr="003378BB">
              <w:rPr>
                <w:color w:val="222222"/>
                <w:sz w:val="16"/>
                <w:szCs w:val="16"/>
              </w:rPr>
              <w:t>Evaluates optical and capture-side impairments.</w:t>
            </w:r>
          </w:p>
        </w:tc>
        <w:tc>
          <w:tcPr>
            <w:tcW w:w="4320" w:type="dxa"/>
            <w:tcBorders>
              <w:top w:val="single" w:sz="4" w:space="0" w:color="B7B7B7"/>
              <w:left w:val="single" w:sz="4" w:space="0" w:color="B7B7B7"/>
              <w:bottom w:val="single" w:sz="4" w:space="0" w:color="B7B7B7"/>
              <w:right w:val="single" w:sz="4" w:space="0" w:color="B7B7B7"/>
            </w:tcBorders>
            <w:tcMar>
              <w:top w:w="70" w:type="dxa"/>
              <w:left w:w="65" w:type="dxa"/>
              <w:bottom w:w="70" w:type="dxa"/>
              <w:right w:w="65" w:type="dxa"/>
            </w:tcMar>
            <w:vAlign w:val="center"/>
          </w:tcPr>
          <w:p w14:paraId="1EF59373" w14:textId="77777777" w:rsidR="00CB1DC7" w:rsidRPr="003378BB" w:rsidRDefault="00000000">
            <w:pPr>
              <w:widowControl/>
              <w:spacing w:after="0" w:line="240" w:lineRule="auto"/>
              <w:jc w:val="left"/>
              <w:rPr>
                <w:sz w:val="16"/>
                <w:szCs w:val="16"/>
              </w:rPr>
            </w:pPr>
            <w:r w:rsidRPr="003378BB">
              <w:rPr>
                <w:color w:val="222222"/>
                <w:sz w:val="16"/>
                <w:szCs w:val="16"/>
              </w:rPr>
              <w:t xml:space="preserve">Accounts for camera defocus, motion </w:t>
            </w:r>
            <w:proofErr w:type="gramStart"/>
            <w:r w:rsidRPr="003378BB">
              <w:rPr>
                <w:color w:val="222222"/>
                <w:sz w:val="16"/>
                <w:szCs w:val="16"/>
              </w:rPr>
              <w:t>shake</w:t>
            </w:r>
            <w:proofErr w:type="gramEnd"/>
            <w:r w:rsidRPr="003378BB">
              <w:rPr>
                <w:color w:val="222222"/>
                <w:sz w:val="16"/>
                <w:szCs w:val="16"/>
              </w:rPr>
              <w:t>, poor lighting, and sensor noise that influence real-world perception.</w:t>
            </w:r>
          </w:p>
        </w:tc>
      </w:tr>
      <w:tr w:rsidR="00CB1DC7" w14:paraId="4783260F" w14:textId="77777777">
        <w:trPr>
          <w:cantSplit/>
          <w:jc w:val="center"/>
        </w:trPr>
        <w:tc>
          <w:tcPr>
            <w:tcW w:w="1944" w:type="dxa"/>
            <w:tcBorders>
              <w:top w:val="single" w:sz="4" w:space="0" w:color="B7B7B7"/>
              <w:left w:val="single" w:sz="4" w:space="0" w:color="B7B7B7"/>
              <w:bottom w:val="single" w:sz="4" w:space="0" w:color="B7B7B7"/>
              <w:right w:val="single" w:sz="4" w:space="0" w:color="B7B7B7"/>
            </w:tcBorders>
            <w:shd w:val="clear" w:color="auto" w:fill="F7F9FB"/>
            <w:tcMar>
              <w:top w:w="70" w:type="dxa"/>
              <w:left w:w="65" w:type="dxa"/>
              <w:bottom w:w="70" w:type="dxa"/>
              <w:right w:w="65" w:type="dxa"/>
            </w:tcMar>
            <w:vAlign w:val="center"/>
          </w:tcPr>
          <w:p w14:paraId="3065E62C" w14:textId="77777777" w:rsidR="00CB1DC7" w:rsidRPr="003378BB" w:rsidRDefault="00000000">
            <w:pPr>
              <w:widowControl/>
              <w:spacing w:after="0" w:line="240" w:lineRule="auto"/>
              <w:jc w:val="left"/>
              <w:rPr>
                <w:sz w:val="16"/>
                <w:szCs w:val="16"/>
              </w:rPr>
            </w:pPr>
            <w:r w:rsidRPr="003378BB">
              <w:rPr>
                <w:color w:val="222222"/>
                <w:sz w:val="16"/>
                <w:szCs w:val="16"/>
              </w:rPr>
              <w:t>Device Calibration</w:t>
            </w:r>
          </w:p>
        </w:tc>
        <w:tc>
          <w:tcPr>
            <w:tcW w:w="3240" w:type="dxa"/>
            <w:tcBorders>
              <w:top w:val="single" w:sz="4" w:space="0" w:color="B7B7B7"/>
              <w:left w:val="single" w:sz="4" w:space="0" w:color="B7B7B7"/>
              <w:bottom w:val="single" w:sz="4" w:space="0" w:color="B7B7B7"/>
              <w:right w:val="single" w:sz="4" w:space="0" w:color="B7B7B7"/>
            </w:tcBorders>
            <w:shd w:val="clear" w:color="auto" w:fill="F7F9FB"/>
            <w:tcMar>
              <w:top w:w="70" w:type="dxa"/>
              <w:left w:w="65" w:type="dxa"/>
              <w:bottom w:w="70" w:type="dxa"/>
              <w:right w:w="65" w:type="dxa"/>
            </w:tcMar>
            <w:vAlign w:val="center"/>
          </w:tcPr>
          <w:p w14:paraId="503C02E5" w14:textId="77777777" w:rsidR="00CB1DC7" w:rsidRPr="003378BB" w:rsidRDefault="00000000">
            <w:pPr>
              <w:widowControl/>
              <w:spacing w:after="0" w:line="240" w:lineRule="auto"/>
              <w:jc w:val="left"/>
              <w:rPr>
                <w:sz w:val="16"/>
                <w:szCs w:val="16"/>
              </w:rPr>
            </w:pPr>
            <w:r w:rsidRPr="003378BB">
              <w:rPr>
                <w:color w:val="222222"/>
                <w:sz w:val="16"/>
                <w:szCs w:val="16"/>
              </w:rPr>
              <w:t>Accounts for display resolution, pixel density, and rendering characteristics.</w:t>
            </w:r>
          </w:p>
        </w:tc>
        <w:tc>
          <w:tcPr>
            <w:tcW w:w="4320" w:type="dxa"/>
            <w:tcBorders>
              <w:top w:val="single" w:sz="4" w:space="0" w:color="B7B7B7"/>
              <w:left w:val="single" w:sz="4" w:space="0" w:color="B7B7B7"/>
              <w:bottom w:val="single" w:sz="4" w:space="0" w:color="B7B7B7"/>
              <w:right w:val="single" w:sz="4" w:space="0" w:color="B7B7B7"/>
            </w:tcBorders>
            <w:shd w:val="clear" w:color="auto" w:fill="F7F9FB"/>
            <w:tcMar>
              <w:top w:w="70" w:type="dxa"/>
              <w:left w:w="65" w:type="dxa"/>
              <w:bottom w:w="70" w:type="dxa"/>
              <w:right w:w="65" w:type="dxa"/>
            </w:tcMar>
            <w:vAlign w:val="center"/>
          </w:tcPr>
          <w:p w14:paraId="2947EE06" w14:textId="77777777" w:rsidR="00CB1DC7" w:rsidRPr="003378BB" w:rsidRDefault="00000000">
            <w:pPr>
              <w:widowControl/>
              <w:spacing w:after="0" w:line="240" w:lineRule="auto"/>
              <w:jc w:val="left"/>
              <w:rPr>
                <w:sz w:val="16"/>
                <w:szCs w:val="16"/>
              </w:rPr>
            </w:pPr>
            <w:r w:rsidRPr="003378BB">
              <w:rPr>
                <w:color w:val="222222"/>
                <w:sz w:val="16"/>
                <w:szCs w:val="16"/>
              </w:rPr>
              <w:t>Adjusts the predicted quality estimate for the characteristics of the target viewing device.</w:t>
            </w:r>
          </w:p>
        </w:tc>
      </w:tr>
      <w:tr w:rsidR="00CB1DC7" w14:paraId="047C3A30" w14:textId="77777777">
        <w:trPr>
          <w:cantSplit/>
          <w:jc w:val="center"/>
        </w:trPr>
        <w:tc>
          <w:tcPr>
            <w:tcW w:w="1944" w:type="dxa"/>
            <w:tcBorders>
              <w:top w:val="single" w:sz="4" w:space="0" w:color="B7B7B7"/>
              <w:left w:val="single" w:sz="4" w:space="0" w:color="B7B7B7"/>
              <w:bottom w:val="single" w:sz="12" w:space="0" w:color="124191"/>
              <w:right w:val="single" w:sz="4" w:space="0" w:color="B7B7B7"/>
            </w:tcBorders>
            <w:tcMar>
              <w:top w:w="70" w:type="dxa"/>
              <w:left w:w="65" w:type="dxa"/>
              <w:bottom w:w="70" w:type="dxa"/>
              <w:right w:w="65" w:type="dxa"/>
            </w:tcMar>
            <w:vAlign w:val="center"/>
          </w:tcPr>
          <w:p w14:paraId="0D57EB0A" w14:textId="77777777" w:rsidR="00CB1DC7" w:rsidRPr="003378BB" w:rsidRDefault="00000000">
            <w:pPr>
              <w:widowControl/>
              <w:spacing w:after="0" w:line="240" w:lineRule="auto"/>
              <w:jc w:val="left"/>
              <w:rPr>
                <w:sz w:val="16"/>
                <w:szCs w:val="16"/>
              </w:rPr>
            </w:pPr>
            <w:r w:rsidRPr="003378BB">
              <w:rPr>
                <w:color w:val="222222"/>
                <w:sz w:val="16"/>
                <w:szCs w:val="16"/>
              </w:rPr>
              <w:t>Final MOS Engine</w:t>
            </w:r>
          </w:p>
        </w:tc>
        <w:tc>
          <w:tcPr>
            <w:tcW w:w="3240" w:type="dxa"/>
            <w:tcBorders>
              <w:top w:val="single" w:sz="4" w:space="0" w:color="B7B7B7"/>
              <w:left w:val="single" w:sz="4" w:space="0" w:color="B7B7B7"/>
              <w:bottom w:val="single" w:sz="12" w:space="0" w:color="124191"/>
              <w:right w:val="single" w:sz="4" w:space="0" w:color="B7B7B7"/>
            </w:tcBorders>
            <w:tcMar>
              <w:top w:w="70" w:type="dxa"/>
              <w:left w:w="65" w:type="dxa"/>
              <w:bottom w:w="70" w:type="dxa"/>
              <w:right w:w="65" w:type="dxa"/>
            </w:tcMar>
            <w:vAlign w:val="center"/>
          </w:tcPr>
          <w:p w14:paraId="00E08D18" w14:textId="77777777" w:rsidR="00CB1DC7" w:rsidRPr="003378BB" w:rsidRDefault="00000000">
            <w:pPr>
              <w:widowControl/>
              <w:spacing w:after="0" w:line="240" w:lineRule="auto"/>
              <w:jc w:val="left"/>
              <w:rPr>
                <w:sz w:val="16"/>
                <w:szCs w:val="16"/>
              </w:rPr>
            </w:pPr>
            <w:r w:rsidRPr="003378BB">
              <w:rPr>
                <w:color w:val="222222"/>
                <w:sz w:val="16"/>
                <w:szCs w:val="16"/>
              </w:rPr>
              <w:t>Synthesizes the branch-level scores through a learned prediction model.</w:t>
            </w:r>
          </w:p>
        </w:tc>
        <w:tc>
          <w:tcPr>
            <w:tcW w:w="4320" w:type="dxa"/>
            <w:tcBorders>
              <w:top w:val="single" w:sz="4" w:space="0" w:color="B7B7B7"/>
              <w:left w:val="single" w:sz="4" w:space="0" w:color="B7B7B7"/>
              <w:bottom w:val="single" w:sz="12" w:space="0" w:color="124191"/>
              <w:right w:val="single" w:sz="4" w:space="0" w:color="B7B7B7"/>
            </w:tcBorders>
            <w:tcMar>
              <w:top w:w="70" w:type="dxa"/>
              <w:left w:w="65" w:type="dxa"/>
              <w:bottom w:w="70" w:type="dxa"/>
              <w:right w:w="65" w:type="dxa"/>
            </w:tcMar>
            <w:vAlign w:val="center"/>
          </w:tcPr>
          <w:p w14:paraId="41917682" w14:textId="77777777" w:rsidR="00CB1DC7" w:rsidRPr="003378BB" w:rsidRDefault="00000000">
            <w:pPr>
              <w:widowControl/>
              <w:spacing w:after="0" w:line="240" w:lineRule="auto"/>
              <w:jc w:val="left"/>
              <w:rPr>
                <w:sz w:val="16"/>
                <w:szCs w:val="16"/>
              </w:rPr>
            </w:pPr>
            <w:r w:rsidRPr="003378BB">
              <w:rPr>
                <w:color w:val="222222"/>
                <w:sz w:val="16"/>
                <w:szCs w:val="16"/>
              </w:rPr>
              <w:t>Delivers a human-aligned predicted MOS on the 1-to-5 scale.</w:t>
            </w:r>
          </w:p>
        </w:tc>
      </w:tr>
    </w:tbl>
    <w:p w14:paraId="2CD10407" w14:textId="77777777" w:rsidR="00CB1DC7" w:rsidRDefault="00000000">
      <w:pPr>
        <w:spacing w:before="20" w:after="140"/>
        <w:jc w:val="center"/>
      </w:pPr>
      <w:r>
        <w:rPr>
          <w:i/>
          <w:color w:val="666666"/>
          <w:sz w:val="15"/>
        </w:rPr>
        <w:t xml:space="preserve">Table 4. Functions of </w:t>
      </w:r>
      <w:proofErr w:type="gramStart"/>
      <w:r>
        <w:rPr>
          <w:i/>
          <w:color w:val="666666"/>
          <w:sz w:val="15"/>
        </w:rPr>
        <w:t>the VQML®</w:t>
      </w:r>
      <w:proofErr w:type="gramEnd"/>
      <w:r>
        <w:rPr>
          <w:i/>
          <w:color w:val="666666"/>
          <w:sz w:val="15"/>
        </w:rPr>
        <w:t xml:space="preserve"> multi-score architecture</w:t>
      </w:r>
    </w:p>
    <w:p w14:paraId="69944A0C" w14:textId="77777777" w:rsidR="00CB1DC7" w:rsidRDefault="00000000">
      <w:pPr>
        <w:pStyle w:val="2"/>
        <w:spacing w:before="200" w:after="100"/>
      </w:pPr>
      <w:r>
        <w:rPr>
          <w:rFonts w:ascii="Arial" w:eastAsia="Arial" w:hAnsi="Arial"/>
        </w:rPr>
        <w:t>2.5 Performance Evaluation and Benchmark Results</w:t>
      </w:r>
    </w:p>
    <w:p w14:paraId="78E98F77" w14:textId="77777777" w:rsidR="00CB1DC7" w:rsidRDefault="00000000">
      <w:pPr>
        <w:widowControl/>
      </w:pPr>
      <w:r>
        <w:rPr>
          <w:color w:val="222222"/>
        </w:rPr>
        <w:t xml:space="preserve">VQML® was evaluated on the ITU-T standardization dataset under </w:t>
      </w:r>
      <w:proofErr w:type="gramStart"/>
      <w:r>
        <w:rPr>
          <w:color w:val="222222"/>
        </w:rPr>
        <w:t>controlled</w:t>
      </w:r>
      <w:proofErr w:type="gramEnd"/>
      <w:r>
        <w:rPr>
          <w:color w:val="222222"/>
        </w:rPr>
        <w:t xml:space="preserve"> and consistently applied test conditions. Pearson Linear Correlation Coefficient (PLCC) was used to measure how closely each objective model tracked human subjective quality scores. A value closer to 1 indicates stronger linear correlation.</w:t>
      </w:r>
    </w:p>
    <w:p w14:paraId="3331B1A8" w14:textId="388622B3" w:rsidR="00CB1DC7" w:rsidRPr="00B43DF2" w:rsidRDefault="00B43DF2">
      <w:pPr>
        <w:keepNext/>
        <w:spacing w:before="60" w:after="20"/>
        <w:jc w:val="center"/>
        <w:rPr>
          <w:rFonts w:eastAsiaTheme="minorEastAsia" w:hint="eastAsia"/>
        </w:rPr>
      </w:pPr>
      <w:r>
        <w:rPr>
          <w:rFonts w:eastAsiaTheme="minorEastAsia"/>
          <w:noProof/>
        </w:rPr>
        <w:drawing>
          <wp:inline distT="0" distB="0" distL="0" distR="0" wp14:anchorId="0C8D3EF9" wp14:editId="3A769664">
            <wp:extent cx="5509150" cy="2880000"/>
            <wp:effectExtent l="0" t="0" r="0" b="0"/>
            <wp:docPr id="1782971526"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09150" cy="2880000"/>
                    </a:xfrm>
                    <a:prstGeom prst="rect">
                      <a:avLst/>
                    </a:prstGeom>
                    <a:noFill/>
                  </pic:spPr>
                </pic:pic>
              </a:graphicData>
            </a:graphic>
          </wp:inline>
        </w:drawing>
      </w:r>
    </w:p>
    <w:p w14:paraId="18C0E296" w14:textId="77777777" w:rsidR="00D132FB" w:rsidRDefault="00000000" w:rsidP="00D132FB">
      <w:pPr>
        <w:spacing w:before="20" w:after="140"/>
        <w:jc w:val="center"/>
        <w:rPr>
          <w:rFonts w:eastAsiaTheme="minorEastAsia"/>
          <w:i/>
          <w:color w:val="666666"/>
          <w:sz w:val="15"/>
        </w:rPr>
      </w:pPr>
      <w:r>
        <w:rPr>
          <w:i/>
          <w:color w:val="666666"/>
          <w:sz w:val="15"/>
        </w:rPr>
        <w:t xml:space="preserve">Figure 3. PLCC comparison on the ITU-T standardization dataset. Source: LIG </w:t>
      </w:r>
      <w:proofErr w:type="spellStart"/>
      <w:r>
        <w:rPr>
          <w:i/>
          <w:color w:val="666666"/>
          <w:sz w:val="15"/>
        </w:rPr>
        <w:t>Accuver</w:t>
      </w:r>
      <w:proofErr w:type="spellEnd"/>
      <w:r>
        <w:rPr>
          <w:i/>
          <w:color w:val="666666"/>
          <w:sz w:val="15"/>
        </w:rPr>
        <w:t xml:space="preserve"> evaluation results; performance metrics internally verified.</w:t>
      </w:r>
    </w:p>
    <w:p w14:paraId="5884FD95" w14:textId="110570B1" w:rsidR="00B50F38" w:rsidRDefault="00B50F38" w:rsidP="00D132FB">
      <w:pPr>
        <w:spacing w:before="20" w:after="140"/>
        <w:rPr>
          <w:rFonts w:eastAsiaTheme="minorEastAsia"/>
          <w:b/>
          <w:color w:val="222222"/>
        </w:rPr>
      </w:pPr>
      <w:r w:rsidRPr="00B50F38">
        <w:rPr>
          <w:color w:val="222222"/>
        </w:rPr>
        <w:t>VQML® achieved a PLCC of 0.9041, outperforming Model B, Model C, Model D, and Model E under the same dataset and test conditions. Further evaluation on a dataset containing severe coding artifacts yielded a Root Mean Square Error (RMSE) of 0.4384 and a False Ranking Ratio (FRR) of 4.01%. By comparison, the other evaluated models recorded RMSE values above 0.5, while their FRR values were substantially higher than that of VQML®. Together, these results demonstrate that VQML® provides stronger alignment with human subjective quality judgments, lower prediction error, and more reliable quality-ranking consistency under the evaluated conditions.</w:t>
      </w:r>
    </w:p>
    <w:p w14:paraId="454A2A59" w14:textId="04F8D160" w:rsidR="00CB1DC7" w:rsidRDefault="00000000">
      <w:pPr>
        <w:pStyle w:val="1"/>
        <w:pageBreakBefore/>
        <w:spacing w:before="200" w:after="200"/>
      </w:pPr>
      <w:r>
        <w:rPr>
          <w:rFonts w:ascii="Arial" w:eastAsia="Arial" w:hAnsi="Arial"/>
        </w:rPr>
        <w:lastRenderedPageBreak/>
        <w:t xml:space="preserve">3. </w:t>
      </w:r>
      <w:r w:rsidR="00753360" w:rsidRPr="00753360">
        <w:rPr>
          <w:rFonts w:ascii="Arial" w:eastAsia="Arial" w:hAnsi="Arial"/>
        </w:rPr>
        <w:t xml:space="preserve">VQML®-Enabled </w:t>
      </w:r>
      <w:proofErr w:type="spellStart"/>
      <w:r w:rsidR="00753360" w:rsidRPr="00753360">
        <w:rPr>
          <w:rFonts w:ascii="Arial" w:eastAsia="Arial" w:hAnsi="Arial"/>
        </w:rPr>
        <w:t>QoE</w:t>
      </w:r>
      <w:proofErr w:type="spellEnd"/>
      <w:r w:rsidR="00753360" w:rsidRPr="00753360">
        <w:rPr>
          <w:rFonts w:ascii="Arial" w:eastAsia="Arial" w:hAnsi="Arial"/>
        </w:rPr>
        <w:t xml:space="preserve"> Assurance and XCAL Use Cases</w:t>
      </w:r>
    </w:p>
    <w:p w14:paraId="49476B94" w14:textId="77777777" w:rsidR="00CB1DC7" w:rsidRDefault="00000000">
      <w:pPr>
        <w:pStyle w:val="2"/>
        <w:spacing w:before="200" w:after="100"/>
      </w:pPr>
      <w:r>
        <w:rPr>
          <w:rFonts w:ascii="Arial" w:eastAsia="Arial" w:hAnsi="Arial"/>
        </w:rPr>
        <w:t xml:space="preserve">3.1 From Network KPIs to User-Perceived </w:t>
      </w:r>
      <w:proofErr w:type="spellStart"/>
      <w:r>
        <w:rPr>
          <w:rFonts w:ascii="Arial" w:eastAsia="Arial" w:hAnsi="Arial"/>
        </w:rPr>
        <w:t>QoE</w:t>
      </w:r>
      <w:proofErr w:type="spellEnd"/>
    </w:p>
    <w:p w14:paraId="53F6DF09" w14:textId="77777777" w:rsidR="00CB1DC7" w:rsidRDefault="00000000">
      <w:pPr>
        <w:widowControl/>
      </w:pPr>
      <w:r>
        <w:rPr>
          <w:color w:val="222222"/>
        </w:rPr>
        <w:t>In 5G SA and future 6G architectures, assurance is expanding from RF optimization to application- and SLA-level verification. RSRP, SINR, throughput, latency, and block error rates remain foundational, but they do not directly describe whether a subscriber experienced clear, stable, and responsive video.</w:t>
      </w:r>
    </w:p>
    <w:p w14:paraId="40D7470B" w14:textId="77777777" w:rsidR="00CB1DC7" w:rsidRDefault="00000000">
      <w:pPr>
        <w:widowControl/>
      </w:pPr>
      <w:r>
        <w:rPr>
          <w:color w:val="222222"/>
        </w:rPr>
        <w:t>VQML® adds an application-layer quality metric that can support SLA thresholds for premium video conferencing, cloud gaming, remote monitoring, and other real-time visual services. XCAL can evaluate predicted MOS together with initial loading behavior, adaptive-resolution changes, playback interruptions, and cellular signaling conditions.</w:t>
      </w:r>
    </w:p>
    <w:p w14:paraId="1DCD449E" w14:textId="77777777" w:rsidR="00CB1DC7" w:rsidRDefault="00000000">
      <w:pPr>
        <w:pStyle w:val="2"/>
        <w:spacing w:before="200" w:after="100"/>
      </w:pPr>
      <w:r>
        <w:rPr>
          <w:rFonts w:ascii="Arial" w:eastAsia="Arial" w:hAnsi="Arial"/>
        </w:rPr>
        <w:t>3.2 Greater Interpretability through XCAL Integration</w:t>
      </w:r>
    </w:p>
    <w:p w14:paraId="66CE3025" w14:textId="77777777" w:rsidR="00CB1DC7" w:rsidRDefault="00000000">
      <w:pPr>
        <w:widowControl/>
      </w:pPr>
      <w:r>
        <w:rPr>
          <w:color w:val="222222"/>
        </w:rPr>
        <w:t>Conventional handcrafted NR models such as BRISQUE and NIQE rely primarily on natural-scene statistics. They can detect deviations from expected image statistics but provide limited semantic, temporal, and root-cause-level interpretability.</w:t>
      </w:r>
    </w:p>
    <w:p w14:paraId="0F19F7FA" w14:textId="77777777" w:rsidR="00CB1DC7" w:rsidRDefault="00000000">
      <w:pPr>
        <w:widowControl/>
      </w:pPr>
      <w:r>
        <w:rPr>
          <w:color w:val="222222"/>
        </w:rPr>
        <w:t xml:space="preserve">VQML®’s multi-score architecture provides more structured insight into the type of degradation being observed. When a signal-quality score drops because of </w:t>
      </w:r>
      <w:proofErr w:type="spellStart"/>
      <w:r>
        <w:rPr>
          <w:color w:val="222222"/>
        </w:rPr>
        <w:t>blockiness</w:t>
      </w:r>
      <w:proofErr w:type="spellEnd"/>
      <w:r>
        <w:rPr>
          <w:color w:val="222222"/>
        </w:rPr>
        <w:t xml:space="preserve"> or freezing, XCAL can align that timestamp with radio and protocol logs. This correlation helps engineers </w:t>
      </w:r>
      <w:proofErr w:type="gramStart"/>
      <w:r>
        <w:rPr>
          <w:color w:val="222222"/>
        </w:rPr>
        <w:t>identify likely</w:t>
      </w:r>
      <w:proofErr w:type="gramEnd"/>
      <w:r>
        <w:rPr>
          <w:color w:val="222222"/>
        </w:rPr>
        <w:t xml:space="preserve"> contributing factors, such as handover instability, scheduling congestion, uplink or downlink impairment, or physical-layer interference. Correlation narrows the investigation; final root-cause confirmation remains an engineering validation step.</w:t>
      </w:r>
    </w:p>
    <w:p w14:paraId="724AE0F3" w14:textId="4893298D" w:rsidR="00CB1DC7" w:rsidRDefault="00000000">
      <w:pPr>
        <w:pStyle w:val="2"/>
        <w:spacing w:before="200" w:after="100"/>
      </w:pPr>
      <w:r>
        <w:rPr>
          <w:rFonts w:ascii="Arial" w:eastAsia="Arial" w:hAnsi="Arial"/>
        </w:rPr>
        <w:t xml:space="preserve">3.3 </w:t>
      </w:r>
      <w:r w:rsidR="00753360" w:rsidRPr="00753360">
        <w:rPr>
          <w:rFonts w:ascii="Arial" w:eastAsia="Arial" w:hAnsi="Arial"/>
        </w:rPr>
        <w:t>Representative VQML® and XCAL Use Cases</w:t>
      </w:r>
    </w:p>
    <w:p w14:paraId="3DA4ADC8" w14:textId="77777777" w:rsidR="00CB1DC7" w:rsidRDefault="00000000">
      <w:pPr>
        <w:pStyle w:val="3"/>
        <w:spacing w:before="140" w:after="60"/>
      </w:pPr>
      <w:r>
        <w:rPr>
          <w:rFonts w:ascii="Arial" w:eastAsia="Arial" w:hAnsi="Arial"/>
        </w:rPr>
        <w:t xml:space="preserve">1. Mobile Video Platforms and Short-Form </w:t>
      </w:r>
      <w:proofErr w:type="spellStart"/>
      <w:r>
        <w:rPr>
          <w:rFonts w:ascii="Arial" w:eastAsia="Arial" w:hAnsi="Arial"/>
        </w:rPr>
        <w:t>QoE</w:t>
      </w:r>
      <w:proofErr w:type="spellEnd"/>
      <w:r>
        <w:rPr>
          <w:rFonts w:ascii="Arial" w:eastAsia="Arial" w:hAnsi="Arial"/>
        </w:rPr>
        <w:t xml:space="preserve"> Benchmarking</w:t>
      </w:r>
    </w:p>
    <w:p w14:paraId="71ABB3E2" w14:textId="77777777" w:rsidR="00CB1DC7" w:rsidRDefault="00000000">
      <w:pPr>
        <w:widowControl/>
      </w:pPr>
      <w:r>
        <w:rPr>
          <w:color w:val="222222"/>
        </w:rPr>
        <w:t>With VQML® integrated into XCAL, operators can conduct automated drive tests across online video and short-form platforms such as YouTube, TikTok, Instagram, and local streaming services. Received RGB video and cellular signaling are captured under comparable mobility conditions, enabling objective comparison of predicted MOS, adaptive-resolution behavior, buffering, and visual artifacts across carrier networks.</w:t>
      </w:r>
    </w:p>
    <w:p w14:paraId="6320EA52" w14:textId="77777777" w:rsidR="00CB1DC7" w:rsidRDefault="00000000">
      <w:pPr>
        <w:pStyle w:val="3"/>
        <w:spacing w:before="140" w:after="60"/>
      </w:pPr>
      <w:r>
        <w:rPr>
          <w:rFonts w:ascii="Arial" w:eastAsia="Arial" w:hAnsi="Arial"/>
        </w:rPr>
        <w:t>2. Video Conferencing and Real-Time Collaboration Validation</w:t>
      </w:r>
    </w:p>
    <w:p w14:paraId="00CA4A7F" w14:textId="77777777" w:rsidR="00CB1DC7" w:rsidRDefault="00000000">
      <w:pPr>
        <w:widowControl/>
      </w:pPr>
      <w:r>
        <w:rPr>
          <w:color w:val="222222"/>
        </w:rPr>
        <w:t xml:space="preserve">Enterprise tools such as Zoom, Microsoft Teams, and Webex are sensitive to </w:t>
      </w:r>
      <w:proofErr w:type="gramStart"/>
      <w:r>
        <w:rPr>
          <w:color w:val="222222"/>
        </w:rPr>
        <w:t>jitter</w:t>
      </w:r>
      <w:proofErr w:type="gramEnd"/>
      <w:r>
        <w:rPr>
          <w:color w:val="222222"/>
        </w:rPr>
        <w:t xml:space="preserve">, uplink packet loss, device processing, and camera quality. VQML® can estimate live two-way video quality without a source reference, while XCAL records the associated network conditions. Engineers can evaluate facial clarity, motion continuity, </w:t>
      </w:r>
      <w:proofErr w:type="spellStart"/>
      <w:r>
        <w:rPr>
          <w:color w:val="222222"/>
        </w:rPr>
        <w:t>macroblocking</w:t>
      </w:r>
      <w:proofErr w:type="spellEnd"/>
      <w:r>
        <w:rPr>
          <w:color w:val="222222"/>
        </w:rPr>
        <w:t>, and session stability.</w:t>
      </w:r>
    </w:p>
    <w:p w14:paraId="6B98A388" w14:textId="77777777" w:rsidR="00CB1DC7" w:rsidRDefault="00000000">
      <w:pPr>
        <w:pStyle w:val="3"/>
        <w:spacing w:before="140" w:after="60"/>
      </w:pPr>
      <w:r>
        <w:rPr>
          <w:rFonts w:ascii="Arial" w:eastAsia="Arial" w:hAnsi="Arial"/>
        </w:rPr>
        <w:lastRenderedPageBreak/>
        <w:t xml:space="preserve">3. Mission-Critical Communications and </w:t>
      </w:r>
      <w:proofErr w:type="gramStart"/>
      <w:r>
        <w:rPr>
          <w:rFonts w:ascii="Arial" w:eastAsia="Arial" w:hAnsi="Arial"/>
        </w:rPr>
        <w:t>Public-Safety</w:t>
      </w:r>
      <w:proofErr w:type="gramEnd"/>
      <w:r>
        <w:rPr>
          <w:rFonts w:ascii="Arial" w:eastAsia="Arial" w:hAnsi="Arial"/>
        </w:rPr>
        <w:t xml:space="preserve"> Networks</w:t>
      </w:r>
    </w:p>
    <w:p w14:paraId="59C6777D" w14:textId="77777777" w:rsidR="00CB1DC7" w:rsidRDefault="00000000">
      <w:pPr>
        <w:widowControl/>
      </w:pPr>
      <w:r>
        <w:rPr>
          <w:color w:val="222222"/>
        </w:rPr>
        <w:t>VQML® has been commercially validated in disaster-network verification projects associated with Korea’s public-safety communications environment. In mission-critical scenarios, the combined VQML® and XCAL workflow supports evaluation of whether live video retains sufficient visual clarity during congestion, mobility, and degraded radio conditions.</w:t>
      </w:r>
    </w:p>
    <w:p w14:paraId="2DE2EF1F" w14:textId="77777777" w:rsidR="00CB1DC7" w:rsidRDefault="00000000">
      <w:pPr>
        <w:pStyle w:val="3"/>
        <w:spacing w:before="140" w:after="60"/>
      </w:pPr>
      <w:r>
        <w:rPr>
          <w:rFonts w:ascii="Arial" w:eastAsia="Arial" w:hAnsi="Arial"/>
        </w:rPr>
        <w:t>4. CCTV, Smart-City Surveillance, and Camera Benchmarking</w:t>
      </w:r>
    </w:p>
    <w:p w14:paraId="75FC43A3" w14:textId="77777777" w:rsidR="00CB1DC7" w:rsidRDefault="00000000">
      <w:pPr>
        <w:widowControl/>
      </w:pPr>
      <w:r>
        <w:rPr>
          <w:color w:val="222222"/>
        </w:rPr>
        <w:t>Capture-side defects may occur before video enters the IP network. Focus drift, low-light noise, environmental vibration, and camera motion can reduce visual usability even when network KPIs are normal. The J.344.2-aligned capabilities of VQML® support scalable screening of camera feeds for both capture-side and coding-related degradation.</w:t>
      </w:r>
    </w:p>
    <w:p w14:paraId="69BBBA13" w14:textId="77777777" w:rsidR="00CB1DC7" w:rsidRDefault="00000000">
      <w:pPr>
        <w:pStyle w:val="3"/>
        <w:spacing w:before="140" w:after="60"/>
      </w:pPr>
      <w:r>
        <w:rPr>
          <w:rFonts w:ascii="Arial" w:eastAsia="Arial" w:hAnsi="Arial"/>
        </w:rPr>
        <w:t>5. Controlled Laboratory Network Validation at Nokia Lab</w:t>
      </w:r>
    </w:p>
    <w:p w14:paraId="61DE6077" w14:textId="77777777" w:rsidR="00CB1DC7" w:rsidRDefault="00000000">
      <w:pPr>
        <w:widowControl/>
      </w:pPr>
      <w:r>
        <w:rPr>
          <w:color w:val="222222"/>
        </w:rPr>
        <w:t xml:space="preserve">At Nokia Lab, VQML® is used with XCAL’s Virtual Camera function to benchmark network equipment and QoS configurations. A standardized high-definition test sequence is injected into a smartphone camera pipeline, transmitted through the test network, and decoded on the receiving device. VQML® then evaluates the </w:t>
      </w:r>
      <w:proofErr w:type="gramStart"/>
      <w:r>
        <w:rPr>
          <w:color w:val="222222"/>
        </w:rPr>
        <w:t>received RGB stream</w:t>
      </w:r>
      <w:proofErr w:type="gramEnd"/>
      <w:r>
        <w:rPr>
          <w:color w:val="222222"/>
        </w:rPr>
        <w:t>. This method combines laboratory repeatability with realistic end-device behavior and helps isolate network-induced changes under controlled conditions.</w:t>
      </w:r>
    </w:p>
    <w:p w14:paraId="2B278ED9" w14:textId="77777777" w:rsidR="00CB1DC7" w:rsidRDefault="00000000">
      <w:pPr>
        <w:pStyle w:val="3"/>
        <w:spacing w:before="140" w:after="60"/>
      </w:pPr>
      <w:r>
        <w:rPr>
          <w:rFonts w:ascii="Arial" w:eastAsia="Arial" w:hAnsi="Arial"/>
        </w:rPr>
        <w:t>6. 6G Immersive Media: XR, Spatial Computing, and 360-Degree Video</w:t>
      </w:r>
    </w:p>
    <w:p w14:paraId="279FD79A" w14:textId="7389A6B9" w:rsidR="009132DC" w:rsidRDefault="00000000">
      <w:pPr>
        <w:widowControl/>
        <w:rPr>
          <w:color w:val="222222"/>
        </w:rPr>
      </w:pPr>
      <w:r>
        <w:rPr>
          <w:color w:val="222222"/>
        </w:rPr>
        <w:t>Immersive video introduces dynamic viewports, head-tracking, rendering latency, and spatially varying quality. These characteristics make conventional reference-based assessment operationally complex because the evaluated viewpoint changes with user movement. VQML®’s pixel-based NR architecture provides a foundation for future evaluation of viewport clarity, rendering artifacts, and perceptual consistency across AR, VR, and spatial-computing devices.</w:t>
      </w:r>
    </w:p>
    <w:p w14:paraId="02CE09BC" w14:textId="77777777" w:rsidR="009132DC" w:rsidRDefault="009132DC">
      <w:pPr>
        <w:widowControl/>
        <w:wordWrap/>
        <w:spacing w:after="160" w:line="240" w:lineRule="auto"/>
        <w:jc w:val="left"/>
        <w:rPr>
          <w:color w:val="222222"/>
        </w:rPr>
      </w:pPr>
      <w:r>
        <w:rPr>
          <w:color w:val="222222"/>
        </w:rPr>
        <w:br w:type="page"/>
      </w:r>
    </w:p>
    <w:p w14:paraId="7D3D0F4D" w14:textId="59078AA8" w:rsidR="00242A26" w:rsidRDefault="00242A26" w:rsidP="00242A26">
      <w:pPr>
        <w:pStyle w:val="2"/>
        <w:spacing w:before="200" w:after="100"/>
      </w:pPr>
      <w:r>
        <w:rPr>
          <w:rFonts w:ascii="Arial" w:eastAsiaTheme="minorEastAsia" w:hAnsi="Arial" w:hint="eastAsia"/>
        </w:rPr>
        <w:lastRenderedPageBreak/>
        <w:t>3.4</w:t>
      </w:r>
      <w:r>
        <w:rPr>
          <w:rFonts w:ascii="Arial" w:eastAsia="Arial" w:hAnsi="Arial"/>
        </w:rPr>
        <w:t xml:space="preserve"> Deployment Configurations and Commercialization Roadmap</w:t>
      </w:r>
    </w:p>
    <w:p w14:paraId="3C31377D" w14:textId="77777777" w:rsidR="00C85268" w:rsidRPr="00C85268" w:rsidRDefault="00C85268" w:rsidP="00C85268">
      <w:pPr>
        <w:widowControl/>
        <w:rPr>
          <w:rFonts w:eastAsiaTheme="minorEastAsia"/>
        </w:rPr>
      </w:pPr>
      <w:r w:rsidRPr="00C85268">
        <w:rPr>
          <w:rFonts w:eastAsiaTheme="minorEastAsia"/>
        </w:rPr>
        <w:t>VQML® is planned for delivery in three deployment forms: GPU-server, PC, and mobile, allowing customers to select an implementation suited to their processing requirements, test scale, and operational environment. The GPU-server option is intended for centralized or high-volume processing, while optimized and lightweight PC and mobile implementations are being prepared for laboratory, field, and device-side measurement.</w:t>
      </w:r>
    </w:p>
    <w:p w14:paraId="4679BE18" w14:textId="77777777" w:rsidR="00C85268" w:rsidRPr="00C85268" w:rsidRDefault="00C85268" w:rsidP="00C85268">
      <w:pPr>
        <w:widowControl/>
        <w:rPr>
          <w:rFonts w:eastAsiaTheme="minorEastAsia"/>
        </w:rPr>
      </w:pPr>
      <w:r w:rsidRPr="00C85268">
        <w:rPr>
          <w:rFonts w:eastAsiaTheme="minorEastAsia"/>
        </w:rPr>
        <w:t xml:space="preserve">Within the XCAL ecosystem, VQML® will be provided through two primary measurement configurations. The first embeds VQML® into XCAL to evaluate the perceived quality of OTT and live-video services played on mobile devices. By analyzing decoded RGB video together with XCAL measurement data, this configuration supports mobile-service benchmarking, field testing, device comparison, and </w:t>
      </w:r>
      <w:proofErr w:type="spellStart"/>
      <w:r w:rsidRPr="00C85268">
        <w:rPr>
          <w:rFonts w:eastAsiaTheme="minorEastAsia"/>
        </w:rPr>
        <w:t>QoE</w:t>
      </w:r>
      <w:proofErr w:type="spellEnd"/>
      <w:r w:rsidRPr="00C85268">
        <w:rPr>
          <w:rFonts w:eastAsiaTheme="minorEastAsia"/>
        </w:rPr>
        <w:t xml:space="preserve"> monitoring under real network conditions.</w:t>
      </w:r>
    </w:p>
    <w:p w14:paraId="5B8784BD" w14:textId="77777777" w:rsidR="00C85268" w:rsidRPr="00C85268" w:rsidRDefault="00C85268" w:rsidP="00C85268">
      <w:pPr>
        <w:widowControl/>
        <w:rPr>
          <w:rFonts w:eastAsiaTheme="minorEastAsia"/>
        </w:rPr>
      </w:pPr>
      <w:r w:rsidRPr="00C85268">
        <w:rPr>
          <w:rFonts w:eastAsiaTheme="minorEastAsia"/>
        </w:rPr>
        <w:t>The second configuration targets external playback devices. Video output from Apple TV, Chromecast, and comparable set-top boxes or streaming dongles can be ingested through an external HDMI video-capture device and evaluated using VQML®’s pixel-based no-reference analysis. This enables objective comparison across devices, applications, and service platforms without requiring access to the original source video or internal application metadata.</w:t>
      </w:r>
    </w:p>
    <w:p w14:paraId="2725D056" w14:textId="7D380BFE" w:rsidR="00C85268" w:rsidRDefault="00C85268" w:rsidP="00C85268">
      <w:pPr>
        <w:widowControl/>
        <w:rPr>
          <w:rFonts w:eastAsiaTheme="minorEastAsia"/>
        </w:rPr>
      </w:pPr>
      <w:r w:rsidRPr="00C85268">
        <w:rPr>
          <w:rFonts w:eastAsiaTheme="minorEastAsia"/>
        </w:rPr>
        <w:t xml:space="preserve">As the next stage of commercialization, LIG </w:t>
      </w:r>
      <w:proofErr w:type="spellStart"/>
      <w:r w:rsidRPr="00C85268">
        <w:rPr>
          <w:rFonts w:eastAsiaTheme="minorEastAsia"/>
        </w:rPr>
        <w:t>Accuver</w:t>
      </w:r>
      <w:proofErr w:type="spellEnd"/>
      <w:r w:rsidRPr="00C85268">
        <w:rPr>
          <w:rFonts w:eastAsiaTheme="minorEastAsia"/>
        </w:rPr>
        <w:t xml:space="preserve"> plans to offer VQML® as a commercially licensed software development kit (SDK). The SDK will enable customers to integrate the J.344-aligned assessment engine into their own products, validation systems, monitoring platforms, and service-assurance workflows, extending VQML® beyond the XCAL ecosystem.</w:t>
      </w:r>
    </w:p>
    <w:p w14:paraId="57413FE5" w14:textId="77777777" w:rsidR="00242A26" w:rsidRPr="00242A26" w:rsidRDefault="00242A26">
      <w:pPr>
        <w:widowControl/>
        <w:rPr>
          <w:rFonts w:eastAsiaTheme="minorEastAsia"/>
        </w:rPr>
      </w:pPr>
    </w:p>
    <w:p w14:paraId="3A1EEE56" w14:textId="77777777" w:rsidR="00CB1DC7" w:rsidRDefault="00000000">
      <w:pPr>
        <w:pStyle w:val="1"/>
        <w:pageBreakBefore/>
        <w:spacing w:before="200" w:after="200"/>
      </w:pPr>
      <w:r>
        <w:rPr>
          <w:rFonts w:ascii="Arial" w:eastAsia="Arial" w:hAnsi="Arial"/>
        </w:rPr>
        <w:lastRenderedPageBreak/>
        <w:t>4. Conclusion</w:t>
      </w:r>
    </w:p>
    <w:p w14:paraId="5C9C8228" w14:textId="7D386E7B" w:rsidR="009132DC" w:rsidRPr="009132DC" w:rsidRDefault="009132DC" w:rsidP="009132DC">
      <w:pPr>
        <w:widowControl/>
        <w:rPr>
          <w:rFonts w:eastAsiaTheme="minorEastAsia"/>
          <w:color w:val="222222"/>
        </w:rPr>
      </w:pPr>
      <w:r w:rsidRPr="009132DC">
        <w:rPr>
          <w:color w:val="222222"/>
        </w:rPr>
        <w:t>Video quality assessment is becoming an essential component of network and service assurance. As 5G Standalone and future 6G networks support application-specific SLAs, private networks, mission-critical services, and immersive media, network-centric KPIs alone cannot fully represent the quality experienced by users.</w:t>
      </w:r>
    </w:p>
    <w:p w14:paraId="01970D61" w14:textId="6C791C1D" w:rsidR="009132DC" w:rsidRPr="009132DC" w:rsidRDefault="009132DC" w:rsidP="009132DC">
      <w:pPr>
        <w:widowControl/>
        <w:rPr>
          <w:rFonts w:eastAsiaTheme="minorEastAsia"/>
          <w:color w:val="222222"/>
        </w:rPr>
      </w:pPr>
      <w:r w:rsidRPr="009132DC">
        <w:rPr>
          <w:color w:val="222222"/>
        </w:rPr>
        <w:t xml:space="preserve">VQML® addresses this gap through AI-based no-reference assessment of decoded RGB video. Its selection as Model A within the ITU-T J.344 standardization framework provides a common technical basis for Full HD no-reference video quality assessment, while the commercial implementation extends its applicability across broader resolutions, </w:t>
      </w:r>
      <w:proofErr w:type="gramStart"/>
      <w:r w:rsidRPr="009132DC">
        <w:rPr>
          <w:color w:val="222222"/>
        </w:rPr>
        <w:t>codecs</w:t>
      </w:r>
      <w:proofErr w:type="gramEnd"/>
      <w:r w:rsidRPr="009132DC">
        <w:rPr>
          <w:color w:val="222222"/>
        </w:rPr>
        <w:t>, devices, and service environments.</w:t>
      </w:r>
    </w:p>
    <w:p w14:paraId="3179A235" w14:textId="77777777" w:rsidR="009132DC" w:rsidRDefault="009132DC" w:rsidP="009132DC">
      <w:pPr>
        <w:widowControl/>
        <w:rPr>
          <w:rFonts w:eastAsiaTheme="minorEastAsia"/>
          <w:color w:val="222222"/>
        </w:rPr>
      </w:pPr>
      <w:r w:rsidRPr="009132DC">
        <w:rPr>
          <w:color w:val="222222"/>
        </w:rPr>
        <w:t xml:space="preserve">Integrated with XCAL, VQML® connects predicted perceptual quality with radio, protocol, playback, and device-level information, enabling repeatable service comparison and more focused investigation of </w:t>
      </w:r>
      <w:proofErr w:type="spellStart"/>
      <w:r w:rsidRPr="009132DC">
        <w:rPr>
          <w:color w:val="222222"/>
        </w:rPr>
        <w:t>QoE</w:t>
      </w:r>
      <w:proofErr w:type="spellEnd"/>
      <w:r w:rsidRPr="009132DC">
        <w:rPr>
          <w:color w:val="222222"/>
        </w:rPr>
        <w:t xml:space="preserve"> degradation. Through future commercial SDK licensing, customers will also be able to embed the J.344-aligned VQML® engine into their own products, validation platforms, and service-assurance workflows. </w:t>
      </w:r>
    </w:p>
    <w:p w14:paraId="67B824B2" w14:textId="7F2E622F" w:rsidR="009132DC" w:rsidRPr="009132DC" w:rsidRDefault="009132DC" w:rsidP="009132DC">
      <w:pPr>
        <w:widowControl/>
        <w:rPr>
          <w:rFonts w:eastAsiaTheme="minorEastAsia"/>
        </w:rPr>
      </w:pPr>
      <w:r w:rsidRPr="009132DC">
        <w:rPr>
          <w:color w:val="222222"/>
        </w:rPr>
        <w:t xml:space="preserve">This combination of international standardization, AI-based perceptual assessment, and flexible deployment positions VQML® as a scalable foundation for video </w:t>
      </w:r>
      <w:proofErr w:type="spellStart"/>
      <w:r w:rsidRPr="009132DC">
        <w:rPr>
          <w:color w:val="222222"/>
        </w:rPr>
        <w:t>QoE</w:t>
      </w:r>
      <w:proofErr w:type="spellEnd"/>
      <w:r w:rsidRPr="009132DC">
        <w:rPr>
          <w:color w:val="222222"/>
        </w:rPr>
        <w:t xml:space="preserve"> assurance in the 5G and 6G era.</w:t>
      </w:r>
    </w:p>
    <w:p w14:paraId="420A608A" w14:textId="77777777" w:rsidR="00CB1DC7" w:rsidRDefault="00000000">
      <w:pPr>
        <w:pStyle w:val="1"/>
        <w:pageBreakBefore/>
        <w:spacing w:before="200" w:after="200"/>
      </w:pPr>
      <w:r>
        <w:rPr>
          <w:rFonts w:ascii="Arial" w:eastAsia="Arial" w:hAnsi="Arial"/>
        </w:rPr>
        <w:lastRenderedPageBreak/>
        <w:t>Selected Standards and Technical References</w:t>
      </w:r>
    </w:p>
    <w:p w14:paraId="2326711D" w14:textId="77777777" w:rsidR="00CB1DC7" w:rsidRDefault="00000000">
      <w:pPr>
        <w:spacing w:after="60" w:line="259" w:lineRule="auto"/>
        <w:ind w:left="360" w:hanging="230"/>
      </w:pPr>
      <w:r>
        <w:rPr>
          <w:b/>
          <w:color w:val="124191"/>
        </w:rPr>
        <w:t xml:space="preserve">• </w:t>
      </w:r>
      <w:r>
        <w:rPr>
          <w:color w:val="222222"/>
          <w:sz w:val="18"/>
        </w:rPr>
        <w:t>ITU-T J.144 — Objective perceptual video quality measurement techniques for digital cable television in the presence of a full reference.</w:t>
      </w:r>
    </w:p>
    <w:p w14:paraId="14CE3D5B" w14:textId="77777777" w:rsidR="00CB1DC7" w:rsidRDefault="00000000">
      <w:pPr>
        <w:spacing w:after="60" w:line="259" w:lineRule="auto"/>
        <w:ind w:left="360" w:hanging="230"/>
      </w:pPr>
      <w:r>
        <w:rPr>
          <w:b/>
          <w:color w:val="124191"/>
        </w:rPr>
        <w:t xml:space="preserve">• </w:t>
      </w:r>
      <w:r>
        <w:rPr>
          <w:color w:val="222222"/>
          <w:sz w:val="18"/>
        </w:rPr>
        <w:t>ITU-T J.246 — Perceptual visual quality measurement techniques for multimedia services over digital cable television networks using reduced reference.</w:t>
      </w:r>
    </w:p>
    <w:p w14:paraId="47147B0A" w14:textId="77777777" w:rsidR="00CB1DC7" w:rsidRDefault="00000000">
      <w:pPr>
        <w:spacing w:after="60" w:line="259" w:lineRule="auto"/>
        <w:ind w:left="360" w:hanging="230"/>
      </w:pPr>
      <w:r>
        <w:rPr>
          <w:b/>
          <w:color w:val="124191"/>
        </w:rPr>
        <w:t xml:space="preserve">• </w:t>
      </w:r>
      <w:r>
        <w:rPr>
          <w:color w:val="222222"/>
          <w:sz w:val="18"/>
        </w:rPr>
        <w:t>ITU-T J.343 series — Hybrid perceptual bitstream and pixel-based objective video quality measurement.</w:t>
      </w:r>
    </w:p>
    <w:p w14:paraId="77C10433" w14:textId="77777777" w:rsidR="00CB1DC7" w:rsidRDefault="00000000">
      <w:pPr>
        <w:spacing w:after="60" w:line="259" w:lineRule="auto"/>
        <w:ind w:left="360" w:hanging="230"/>
      </w:pPr>
      <w:r>
        <w:rPr>
          <w:b/>
          <w:color w:val="124191"/>
        </w:rPr>
        <w:t xml:space="preserve">• </w:t>
      </w:r>
      <w:r>
        <w:rPr>
          <w:color w:val="222222"/>
          <w:sz w:val="18"/>
        </w:rPr>
        <w:t>ITU-T J.344, J.344.1, and J.344.2 — Approved no-reference objective video quality assessment framework and models for Full HD video.</w:t>
      </w:r>
    </w:p>
    <w:p w14:paraId="42CB0300" w14:textId="77777777" w:rsidR="00CB1DC7" w:rsidRDefault="00000000">
      <w:pPr>
        <w:spacing w:after="60" w:line="259" w:lineRule="auto"/>
        <w:ind w:left="360" w:hanging="230"/>
      </w:pPr>
      <w:r>
        <w:rPr>
          <w:b/>
          <w:color w:val="124191"/>
        </w:rPr>
        <w:t xml:space="preserve">• </w:t>
      </w:r>
      <w:r>
        <w:rPr>
          <w:color w:val="222222"/>
          <w:sz w:val="18"/>
        </w:rPr>
        <w:t>ITU-T P.910 — Subjective video quality assessment methods for multimedia applications.</w:t>
      </w:r>
    </w:p>
    <w:p w14:paraId="013EF530" w14:textId="77777777" w:rsidR="00CB1DC7" w:rsidRDefault="00000000">
      <w:pPr>
        <w:spacing w:after="60" w:line="259" w:lineRule="auto"/>
        <w:ind w:left="360" w:hanging="230"/>
      </w:pPr>
      <w:r>
        <w:rPr>
          <w:b/>
          <w:color w:val="124191"/>
        </w:rPr>
        <w:t xml:space="preserve">• </w:t>
      </w:r>
      <w:r>
        <w:rPr>
          <w:color w:val="222222"/>
          <w:sz w:val="18"/>
        </w:rPr>
        <w:t>ITU-T P.1204 series — Video quality assessment models for streaming services.</w:t>
      </w:r>
    </w:p>
    <w:p w14:paraId="6750F246" w14:textId="77777777" w:rsidR="00CB1DC7" w:rsidRDefault="00000000">
      <w:pPr>
        <w:spacing w:after="60" w:line="259" w:lineRule="auto"/>
        <w:ind w:left="360" w:hanging="230"/>
      </w:pPr>
      <w:r>
        <w:rPr>
          <w:b/>
          <w:color w:val="124191"/>
        </w:rPr>
        <w:t xml:space="preserve">• </w:t>
      </w:r>
      <w:r>
        <w:rPr>
          <w:color w:val="222222"/>
          <w:sz w:val="18"/>
        </w:rPr>
        <w:t xml:space="preserve">LIG </w:t>
      </w:r>
      <w:proofErr w:type="spellStart"/>
      <w:r>
        <w:rPr>
          <w:color w:val="222222"/>
          <w:sz w:val="18"/>
        </w:rPr>
        <w:t>Accuver</w:t>
      </w:r>
      <w:proofErr w:type="spellEnd"/>
      <w:r>
        <w:rPr>
          <w:color w:val="222222"/>
          <w:sz w:val="18"/>
        </w:rPr>
        <w:t xml:space="preserve"> VQML® evaluation results on the ITU-T standardization dataset and severe coding-artifact dataset (internally verified).</w:t>
      </w:r>
    </w:p>
    <w:p w14:paraId="276B5E58" w14:textId="77777777" w:rsidR="00CB1DC7" w:rsidRDefault="00000000">
      <w:pPr>
        <w:pStyle w:val="1"/>
        <w:spacing w:before="200" w:after="200"/>
      </w:pPr>
      <w:r>
        <w:rPr>
          <w:rFonts w:ascii="Arial" w:eastAsia="Arial" w:hAnsi="Arial"/>
        </w:rPr>
        <w:t xml:space="preserve">About LIG </w:t>
      </w:r>
      <w:proofErr w:type="spellStart"/>
      <w:r>
        <w:rPr>
          <w:rFonts w:ascii="Arial" w:eastAsia="Arial" w:hAnsi="Arial"/>
        </w:rPr>
        <w:t>Accuver</w:t>
      </w:r>
      <w:proofErr w:type="spellEnd"/>
    </w:p>
    <w:tbl>
      <w:tblPr>
        <w:tblW w:w="0" w:type="auto"/>
        <w:jc w:val="center"/>
        <w:tblLayout w:type="fixed"/>
        <w:tblLook w:val="04A0" w:firstRow="1" w:lastRow="0" w:firstColumn="1" w:lastColumn="0" w:noHBand="0" w:noVBand="1"/>
      </w:tblPr>
      <w:tblGrid>
        <w:gridCol w:w="9512"/>
      </w:tblGrid>
      <w:tr w:rsidR="00CB1DC7" w14:paraId="55E141E4" w14:textId="77777777" w:rsidTr="00AC69C0">
        <w:trPr>
          <w:jc w:val="center"/>
        </w:trPr>
        <w:tc>
          <w:tcPr>
            <w:tcW w:w="9512" w:type="dxa"/>
            <w:tcBorders>
              <w:top w:val="single" w:sz="8" w:space="0" w:color="124191"/>
              <w:left w:val="single" w:sz="8" w:space="0" w:color="124191"/>
              <w:bottom w:val="single" w:sz="8" w:space="0" w:color="124191"/>
              <w:right w:val="single" w:sz="8" w:space="0" w:color="124191"/>
            </w:tcBorders>
            <w:shd w:val="clear" w:color="auto" w:fill="EAF2F8"/>
            <w:tcMar>
              <w:top w:w="140" w:type="dxa"/>
              <w:left w:w="170" w:type="dxa"/>
              <w:bottom w:w="140" w:type="dxa"/>
              <w:right w:w="170" w:type="dxa"/>
            </w:tcMar>
          </w:tcPr>
          <w:p w14:paraId="5D0F1F06" w14:textId="77777777" w:rsidR="00CB1DC7" w:rsidRDefault="00000000">
            <w:pPr>
              <w:spacing w:after="140"/>
            </w:pPr>
            <w:r>
              <w:rPr>
                <w:color w:val="222222"/>
                <w:sz w:val="18"/>
              </w:rPr>
              <w:t xml:space="preserve">LIG </w:t>
            </w:r>
            <w:proofErr w:type="spellStart"/>
            <w:r>
              <w:rPr>
                <w:color w:val="222222"/>
                <w:sz w:val="18"/>
              </w:rPr>
              <w:t>Accuver</w:t>
            </w:r>
            <w:proofErr w:type="spellEnd"/>
            <w:r>
              <w:rPr>
                <w:color w:val="222222"/>
                <w:sz w:val="18"/>
              </w:rPr>
              <w:t xml:space="preserve"> provides advanced test and validation solutions across 5G/6G, O-RAN, NTN, V2X, and mission-critical communications. Its portfolio supports network operators, equipment vendors, device manufacturers, automotive partners, and public-sector organizations across </w:t>
            </w:r>
            <w:proofErr w:type="gramStart"/>
            <w:r>
              <w:rPr>
                <w:color w:val="222222"/>
                <w:sz w:val="18"/>
              </w:rPr>
              <w:t>laboratory</w:t>
            </w:r>
            <w:proofErr w:type="gramEnd"/>
            <w:r>
              <w:rPr>
                <w:color w:val="222222"/>
                <w:sz w:val="18"/>
              </w:rPr>
              <w:t xml:space="preserve">, </w:t>
            </w:r>
            <w:proofErr w:type="gramStart"/>
            <w:r>
              <w:rPr>
                <w:color w:val="222222"/>
                <w:sz w:val="18"/>
              </w:rPr>
              <w:t>field</w:t>
            </w:r>
            <w:proofErr w:type="gramEnd"/>
            <w:r>
              <w:rPr>
                <w:color w:val="222222"/>
                <w:sz w:val="18"/>
              </w:rPr>
              <w:t>, and service-assurance environments.</w:t>
            </w:r>
          </w:p>
          <w:p w14:paraId="282606D8" w14:textId="535CA227" w:rsidR="00CB1DC7" w:rsidRDefault="00000000">
            <w:pPr>
              <w:spacing w:after="0"/>
            </w:pPr>
            <w:r>
              <w:rPr>
                <w:b/>
                <w:color w:val="124191"/>
                <w:sz w:val="18"/>
              </w:rPr>
              <w:t xml:space="preserve">For more information:  </w:t>
            </w:r>
            <w:proofErr w:type="gramStart"/>
            <w:r>
              <w:rPr>
                <w:b/>
                <w:color w:val="124191"/>
                <w:sz w:val="18"/>
              </w:rPr>
              <w:t>sales@accuver.com  |</w:t>
            </w:r>
            <w:proofErr w:type="gramEnd"/>
            <w:r>
              <w:rPr>
                <w:b/>
                <w:color w:val="124191"/>
                <w:sz w:val="18"/>
              </w:rPr>
              <w:t xml:space="preserve">  www.</w:t>
            </w:r>
            <w:r w:rsidR="00AC69C0">
              <w:rPr>
                <w:rFonts w:eastAsiaTheme="minorEastAsia" w:hint="eastAsia"/>
                <w:b/>
                <w:color w:val="124191"/>
                <w:sz w:val="18"/>
              </w:rPr>
              <w:t>lig</w:t>
            </w:r>
            <w:r>
              <w:rPr>
                <w:b/>
                <w:color w:val="124191"/>
                <w:sz w:val="18"/>
              </w:rPr>
              <w:t>accuver.com</w:t>
            </w:r>
          </w:p>
        </w:tc>
      </w:tr>
    </w:tbl>
    <w:p w14:paraId="3DA9B539" w14:textId="77777777" w:rsidR="00CB1DC7" w:rsidRDefault="00000000">
      <w:pPr>
        <w:widowControl/>
        <w:spacing w:before="200" w:after="0"/>
        <w:jc w:val="center"/>
      </w:pPr>
      <w:r>
        <w:rPr>
          <w:i/>
          <w:color w:val="666666"/>
          <w:sz w:val="15"/>
        </w:rPr>
        <w:t xml:space="preserve">VQML® is a registered trademark of LIG </w:t>
      </w:r>
      <w:proofErr w:type="spellStart"/>
      <w:r>
        <w:rPr>
          <w:i/>
          <w:color w:val="666666"/>
          <w:sz w:val="15"/>
        </w:rPr>
        <w:t>Accuver</w:t>
      </w:r>
      <w:proofErr w:type="spellEnd"/>
      <w:r>
        <w:rPr>
          <w:i/>
          <w:color w:val="666666"/>
          <w:sz w:val="15"/>
        </w:rPr>
        <w:t>. Product and company names referenced in this document may be trademarks of their respective owners.</w:t>
      </w:r>
    </w:p>
    <w:sectPr w:rsidR="00CB1DC7" w:rsidSect="00CD42FB">
      <w:headerReference w:type="even" r:id="rId14"/>
      <w:headerReference w:type="default" r:id="rId15"/>
      <w:footerReference w:type="even" r:id="rId16"/>
      <w:footerReference w:type="default" r:id="rId17"/>
      <w:headerReference w:type="first" r:id="rId18"/>
      <w:footerReference w:type="first" r:id="rId19"/>
      <w:pgSz w:w="11906" w:h="16838" w:code="9"/>
      <w:pgMar w:top="1253" w:right="851" w:bottom="1140" w:left="1140" w:header="567" w:footer="561"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CCEEA5" w14:textId="77777777" w:rsidR="00290D3C" w:rsidRDefault="00290D3C" w:rsidP="0019549A">
      <w:r>
        <w:separator/>
      </w:r>
    </w:p>
  </w:endnote>
  <w:endnote w:type="continuationSeparator" w:id="0">
    <w:p w14:paraId="22566055" w14:textId="77777777" w:rsidR="00290D3C" w:rsidRDefault="00290D3C" w:rsidP="001954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굴림체">
    <w:panose1 w:val="020B0609000101010101"/>
    <w:charset w:val="81"/>
    <w:family w:val="modern"/>
    <w:pitch w:val="fixed"/>
    <w:sig w:usb0="B00002AF" w:usb1="69D77CFB" w:usb2="00000030" w:usb3="00000000" w:csb0="0008009F" w:csb1="00000000"/>
  </w:font>
  <w:font w:name="돋움">
    <w:altName w:val="Dotum"/>
    <w:panose1 w:val="020B0600000101010101"/>
    <w:charset w:val="81"/>
    <w:family w:val="moder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나눔스퀘어">
    <w:altName w:val="맑은 고딕"/>
    <w:charset w:val="81"/>
    <w:family w:val="modern"/>
    <w:pitch w:val="variable"/>
    <w:sig w:usb0="00000203" w:usb1="29D72C10" w:usb2="00000010" w:usb3="00000000" w:csb0="00280005" w:csb1="00000000"/>
  </w:font>
  <w:font w:name="나눔스퀘어 ExtraBold">
    <w:altName w:val="맑은 고딕"/>
    <w:charset w:val="81"/>
    <w:family w:val="modern"/>
    <w:pitch w:val="variable"/>
    <w:sig w:usb0="00000203" w:usb1="29D72C10" w:usb2="00000010" w:usb3="00000000" w:csb0="00280005" w:csb1="00000000"/>
  </w:font>
  <w:font w:name="나눔스퀘어 Bold">
    <w:altName w:val="맑은 고딕"/>
    <w:charset w:val="81"/>
    <w:family w:val="modern"/>
    <w:pitch w:val="variable"/>
    <w:sig w:usb0="00000203" w:usb1="29D72C10" w:usb2="00000010" w:usb3="00000000" w:csb0="0028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942AB" w14:textId="77777777" w:rsidR="00723C45" w:rsidRDefault="00723C45">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36" w:type="dxa"/>
      <w:tblBorders>
        <w:top w:val="single" w:sz="4" w:space="0" w:color="808080" w:themeColor="background1" w:themeShade="80"/>
      </w:tblBorders>
      <w:tblLayout w:type="fixed"/>
      <w:tblCellMar>
        <w:left w:w="0" w:type="dxa"/>
        <w:right w:w="0" w:type="dxa"/>
      </w:tblCellMar>
      <w:tblLook w:val="0000" w:firstRow="0" w:lastRow="0" w:firstColumn="0" w:lastColumn="0" w:noHBand="0" w:noVBand="0"/>
    </w:tblPr>
    <w:tblGrid>
      <w:gridCol w:w="3312"/>
      <w:gridCol w:w="3312"/>
      <w:gridCol w:w="3312"/>
    </w:tblGrid>
    <w:tr w:rsidR="009602D5" w14:paraId="0294B236" w14:textId="77777777" w:rsidTr="00815D7D">
      <w:trPr>
        <w:cantSplit/>
      </w:trPr>
      <w:tc>
        <w:tcPr>
          <w:tcW w:w="3312" w:type="dxa"/>
        </w:tcPr>
        <w:p w14:paraId="7919170E" w14:textId="77777777" w:rsidR="00CE40DC" w:rsidRPr="003205FE" w:rsidRDefault="00FB392F" w:rsidP="003C3068">
          <w:pPr>
            <w:spacing w:before="40"/>
            <w:rPr>
              <w:rFonts w:ascii="나눔스퀘어 ExtraBold" w:eastAsia="나눔스퀘어 ExtraBold" w:hAnsi="나눔스퀘어 ExtraBold"/>
              <w:b/>
              <w:sz w:val="15"/>
              <w:szCs w:val="15"/>
            </w:rPr>
          </w:pPr>
          <w:r>
            <w:rPr>
              <w:noProof/>
              <w14:ligatures w14:val="standardContextual"/>
            </w:rPr>
            <w:drawing>
              <wp:anchor distT="0" distB="0" distL="114300" distR="114300" simplePos="0" relativeHeight="251661312" behindDoc="0" locked="0" layoutInCell="1" allowOverlap="1" wp14:anchorId="6034BC8B" wp14:editId="7815C73D">
                <wp:simplePos x="0" y="0"/>
                <wp:positionH relativeFrom="column">
                  <wp:posOffset>0</wp:posOffset>
                </wp:positionH>
                <wp:positionV relativeFrom="paragraph">
                  <wp:posOffset>57150</wp:posOffset>
                </wp:positionV>
                <wp:extent cx="389255" cy="168910"/>
                <wp:effectExtent l="0" t="0" r="0" b="2540"/>
                <wp:wrapSquare wrapText="bothSides"/>
                <wp:docPr id="953841182" name="그래픽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841182" name=""/>
                        <pic:cNvPicPr/>
                      </pic:nvPicPr>
                      <pic:blipFill>
                        <a:blip r:embed="rId1">
                          <a:extLst>
                            <a:ext uri="{96DAC541-7B7A-43D3-8B79-37D633B846F1}">
                              <asvg:svgBlip xmlns:asvg="http://schemas.microsoft.com/office/drawing/2016/SVG/main" r:embed="rId2"/>
                            </a:ext>
                          </a:extLst>
                        </a:blip>
                        <a:stretch>
                          <a:fillRect/>
                        </a:stretch>
                      </pic:blipFill>
                      <pic:spPr>
                        <a:xfrm>
                          <a:off x="0" y="0"/>
                          <a:ext cx="389255" cy="168910"/>
                        </a:xfrm>
                        <a:prstGeom prst="rect">
                          <a:avLst/>
                        </a:prstGeom>
                      </pic:spPr>
                    </pic:pic>
                  </a:graphicData>
                </a:graphic>
                <wp14:sizeRelH relativeFrom="margin">
                  <wp14:pctWidth>0</wp14:pctWidth>
                </wp14:sizeRelH>
                <wp14:sizeRelV relativeFrom="margin">
                  <wp14:pctHeight>0</wp14:pctHeight>
                </wp14:sizeRelV>
              </wp:anchor>
            </w:drawing>
          </w:r>
        </w:p>
      </w:tc>
      <w:tc>
        <w:tcPr>
          <w:tcW w:w="3312" w:type="dxa"/>
        </w:tcPr>
        <w:p w14:paraId="52967F9A" w14:textId="77777777" w:rsidR="00CE40DC" w:rsidRPr="00CD5203" w:rsidRDefault="00CE40DC" w:rsidP="003C3068">
          <w:pPr>
            <w:adjustRightInd w:val="0"/>
            <w:snapToGrid w:val="0"/>
            <w:spacing w:before="40"/>
            <w:rPr>
              <w:sz w:val="18"/>
              <w:szCs w:val="18"/>
            </w:rPr>
          </w:pPr>
        </w:p>
      </w:tc>
      <w:tc>
        <w:tcPr>
          <w:tcW w:w="3312" w:type="dxa"/>
        </w:tcPr>
        <w:p w14:paraId="72AA192C" w14:textId="77777777" w:rsidR="00CE40DC" w:rsidRPr="00CD5203" w:rsidRDefault="00191DE1" w:rsidP="003C3068">
          <w:pPr>
            <w:spacing w:before="40"/>
            <w:jc w:val="right"/>
            <w:rPr>
              <w:sz w:val="18"/>
              <w:szCs w:val="18"/>
            </w:rPr>
          </w:pPr>
          <w:r>
            <w:rPr>
              <w:rFonts w:ascii="나눔스퀘어" w:eastAsia="나눔스퀘어" w:hAnsi="나눔스퀘어" w:cs="Arial"/>
              <w:noProof/>
            </w:rPr>
            <w:drawing>
              <wp:anchor distT="0" distB="0" distL="114300" distR="114300" simplePos="0" relativeHeight="251662336" behindDoc="0" locked="0" layoutInCell="1" allowOverlap="1" wp14:anchorId="29A9B272" wp14:editId="743E0A06">
                <wp:simplePos x="0" y="0"/>
                <wp:positionH relativeFrom="column">
                  <wp:posOffset>1134110</wp:posOffset>
                </wp:positionH>
                <wp:positionV relativeFrom="paragraph">
                  <wp:posOffset>88265</wp:posOffset>
                </wp:positionV>
                <wp:extent cx="943875" cy="115081"/>
                <wp:effectExtent l="0" t="0" r="0" b="0"/>
                <wp:wrapNone/>
                <wp:docPr id="10867531"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7531" name="그림 2"/>
                        <pic:cNvPicPr>
                          <a:picLocks noChangeAspect="1" noChangeArrowheads="1"/>
                        </pic:cNvPicPr>
                      </pic:nvPicPr>
                      <pic:blipFill>
                        <a:blip r:embed="rId3">
                          <a:extLst>
                            <a:ext uri="{28A0092B-C50C-407E-A947-70E740481C1C}">
                              <a14:useLocalDpi xmlns:a14="http://schemas.microsoft.com/office/drawing/2010/main" val="0"/>
                            </a:ext>
                          </a:extLst>
                        </a:blip>
                        <a:stretch>
                          <a:fillRect/>
                        </a:stretch>
                      </pic:blipFill>
                      <pic:spPr bwMode="auto">
                        <a:xfrm>
                          <a:off x="0" y="0"/>
                          <a:ext cx="943875" cy="115081"/>
                        </a:xfrm>
                        <a:prstGeom prst="rect">
                          <a:avLst/>
                        </a:prstGeom>
                        <a:noFill/>
                        <a:ln>
                          <a:noFill/>
                        </a:ln>
                      </pic:spPr>
                    </pic:pic>
                  </a:graphicData>
                </a:graphic>
              </wp:anchor>
            </w:drawing>
          </w:r>
        </w:p>
      </w:tc>
    </w:tr>
  </w:tbl>
  <w:p w14:paraId="1D857399" w14:textId="440629B7" w:rsidR="00CE40DC" w:rsidRDefault="001B59A6" w:rsidP="001B59A6">
    <w:pPr>
      <w:pStyle w:val="ab"/>
    </w:pPr>
    <w:r>
      <w:rPr>
        <w:rFonts w:ascii="나눔스퀘어 ExtraBold" w:eastAsia="나눔스퀘어 ExtraBold" w:hAnsi="나눔스퀘어 ExtraBold" w:hint="eastAsia"/>
        <w:b/>
        <w:color w:val="A6A6A6" w:themeColor="background1" w:themeShade="A6"/>
        <w:sz w:val="15"/>
        <w:szCs w:val="15"/>
      </w:rPr>
      <w:t xml:space="preserve">                                                                                                               </w:t>
    </w:r>
    <w:r w:rsidRPr="001B59A6">
      <w:rPr>
        <w:rFonts w:ascii="나눔스퀘어 ExtraBold" w:eastAsia="나눔스퀘어 ExtraBold" w:hAnsi="나눔스퀘어 ExtraBold" w:hint="eastAsia"/>
        <w:b/>
        <w:color w:val="A6A6A6" w:themeColor="background1" w:themeShade="A6"/>
        <w:sz w:val="14"/>
        <w:szCs w:val="14"/>
      </w:rPr>
      <w:t xml:space="preserve">           </w:t>
    </w:r>
    <w:r>
      <w:rPr>
        <w:rFonts w:ascii="나눔스퀘어 ExtraBold" w:eastAsia="나눔스퀘어 ExtraBold" w:hAnsi="나눔스퀘어 ExtraBold" w:hint="eastAsia"/>
        <w:b/>
        <w:color w:val="A6A6A6" w:themeColor="background1" w:themeShade="A6"/>
        <w:sz w:val="14"/>
        <w:szCs w:val="14"/>
      </w:rPr>
      <w:t xml:space="preserve">  </w:t>
    </w:r>
    <w:r w:rsidRPr="001B59A6">
      <w:rPr>
        <w:rFonts w:ascii="나눔스퀘어 ExtraBold" w:eastAsia="나눔스퀘어 ExtraBold" w:hAnsi="나눔스퀘어 ExtraBold" w:hint="eastAsia"/>
        <w:b/>
        <w:color w:val="A6A6A6" w:themeColor="background1" w:themeShade="A6"/>
        <w:sz w:val="14"/>
        <w:szCs w:val="14"/>
      </w:rPr>
      <w:t xml:space="preserve">   </w:t>
    </w:r>
    <w:r w:rsidRPr="0026325A">
      <w:rPr>
        <w:rFonts w:ascii="나눔스퀘어 ExtraBold" w:eastAsia="나눔스퀘어 ExtraBold" w:hAnsi="나눔스퀘어 ExtraBold" w:hint="eastAsia"/>
        <w:b/>
        <w:color w:val="A6A6A6" w:themeColor="background1" w:themeShade="A6"/>
        <w:sz w:val="12"/>
        <w:szCs w:val="12"/>
      </w:rPr>
      <w:t xml:space="preserve">  </w:t>
    </w:r>
    <w:r w:rsidR="0026325A">
      <w:rPr>
        <w:rFonts w:ascii="나눔스퀘어 ExtraBold" w:eastAsia="나눔스퀘어 ExtraBold" w:hAnsi="나눔스퀘어 ExtraBold" w:hint="eastAsia"/>
        <w:b/>
        <w:color w:val="A6A6A6" w:themeColor="background1" w:themeShade="A6"/>
        <w:sz w:val="12"/>
        <w:szCs w:val="12"/>
      </w:rPr>
      <w:t xml:space="preserve"> </w:t>
    </w:r>
    <w:r w:rsidRPr="0026325A">
      <w:rPr>
        <w:rFonts w:ascii="나눔스퀘어 ExtraBold" w:eastAsia="나눔스퀘어 ExtraBold" w:hAnsi="나눔스퀘어 ExtraBold" w:hint="eastAsia"/>
        <w:b/>
        <w:color w:val="A6A6A6" w:themeColor="background1" w:themeShade="A6"/>
        <w:sz w:val="12"/>
        <w:szCs w:val="1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DDA43" w14:textId="77777777" w:rsidR="00723C45" w:rsidRDefault="00723C45">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1E3DE1" w14:textId="77777777" w:rsidR="00290D3C" w:rsidRDefault="00290D3C" w:rsidP="0019549A">
      <w:r>
        <w:separator/>
      </w:r>
    </w:p>
  </w:footnote>
  <w:footnote w:type="continuationSeparator" w:id="0">
    <w:p w14:paraId="205D9CD2" w14:textId="77777777" w:rsidR="00290D3C" w:rsidRDefault="00290D3C" w:rsidP="001954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A490A" w14:textId="77777777" w:rsidR="00723C45" w:rsidRDefault="00723C45">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d"/>
      <w:tblW w:w="3044" w:type="dxa"/>
      <w:tblInd w:w="6874" w:type="dxa"/>
      <w:tblBorders>
        <w:top w:val="none" w:sz="0" w:space="0" w:color="auto"/>
        <w:left w:val="none" w:sz="0" w:space="0" w:color="auto"/>
        <w:bottom w:val="none" w:sz="0" w:space="0" w:color="auto"/>
        <w:right w:val="none" w:sz="0" w:space="0" w:color="auto"/>
        <w:insideH w:val="none" w:sz="0" w:space="0" w:color="auto"/>
        <w:insideV w:val="single" w:sz="12" w:space="0" w:color="FFC000"/>
      </w:tblBorders>
      <w:tblLook w:val="04A0" w:firstRow="1" w:lastRow="0" w:firstColumn="1" w:lastColumn="0" w:noHBand="0" w:noVBand="1"/>
    </w:tblPr>
    <w:tblGrid>
      <w:gridCol w:w="1081"/>
      <w:gridCol w:w="1081"/>
      <w:gridCol w:w="882"/>
    </w:tblGrid>
    <w:tr w:rsidR="00760597" w:rsidRPr="00D6027F" w14:paraId="2E48189A" w14:textId="77777777" w:rsidTr="00760597">
      <w:tc>
        <w:tcPr>
          <w:tcW w:w="1081" w:type="dxa"/>
          <w:tcBorders>
            <w:bottom w:val="nil"/>
            <w:right w:val="single" w:sz="8" w:space="0" w:color="124191"/>
          </w:tcBorders>
        </w:tcPr>
        <w:p w14:paraId="3AC01426" w14:textId="77777777" w:rsidR="00760597" w:rsidRPr="00D6027F" w:rsidRDefault="00760597" w:rsidP="003C3068">
          <w:pPr>
            <w:pStyle w:val="aa"/>
            <w:jc w:val="right"/>
            <w:rPr>
              <w:rFonts w:ascii="나눔스퀘어 Bold" w:eastAsia="나눔스퀘어 Bold" w:hAnsi="나눔스퀘어 Bold" w:cs="Arial"/>
              <w:bCs/>
              <w:sz w:val="13"/>
              <w:szCs w:val="13"/>
            </w:rPr>
          </w:pPr>
          <w:r w:rsidRPr="003205FE">
            <w:rPr>
              <w:rFonts w:ascii="나눔스퀘어 Bold" w:eastAsia="나눔스퀘어 Bold" w:hAnsi="나눔스퀘어 Bold" w:cs="Arial"/>
              <w:bCs/>
              <w:color w:val="404040" w:themeColor="text1" w:themeTint="BF"/>
              <w:sz w:val="13"/>
              <w:szCs w:val="13"/>
            </w:rPr>
            <w:t>Date</w:t>
          </w:r>
        </w:p>
      </w:tc>
      <w:tc>
        <w:tcPr>
          <w:tcW w:w="1081" w:type="dxa"/>
          <w:tcBorders>
            <w:left w:val="single" w:sz="8" w:space="0" w:color="124191"/>
            <w:bottom w:val="nil"/>
            <w:right w:val="single" w:sz="8" w:space="0" w:color="124191"/>
          </w:tcBorders>
        </w:tcPr>
        <w:p w14:paraId="75D1BC62" w14:textId="77777777" w:rsidR="00760597" w:rsidRPr="003205FE" w:rsidRDefault="00760597" w:rsidP="003C3068">
          <w:pPr>
            <w:pStyle w:val="aa"/>
            <w:jc w:val="right"/>
            <w:rPr>
              <w:rFonts w:ascii="나눔스퀘어 Bold" w:eastAsia="나눔스퀘어 Bold" w:hAnsi="나눔스퀘어 Bold" w:cs="Arial"/>
              <w:bCs/>
              <w:color w:val="404040" w:themeColor="text1" w:themeTint="BF"/>
              <w:sz w:val="13"/>
              <w:szCs w:val="13"/>
            </w:rPr>
          </w:pPr>
          <w:r w:rsidRPr="003205FE">
            <w:rPr>
              <w:rFonts w:ascii="나눔스퀘어 Bold" w:eastAsia="나눔스퀘어 Bold" w:hAnsi="나눔스퀘어 Bold" w:cs="Arial"/>
              <w:bCs/>
              <w:color w:val="404040" w:themeColor="text1" w:themeTint="BF"/>
              <w:sz w:val="13"/>
              <w:szCs w:val="13"/>
            </w:rPr>
            <w:t>Version</w:t>
          </w:r>
        </w:p>
      </w:tc>
      <w:tc>
        <w:tcPr>
          <w:tcW w:w="882" w:type="dxa"/>
          <w:tcBorders>
            <w:left w:val="single" w:sz="8" w:space="0" w:color="124191"/>
            <w:right w:val="single" w:sz="8" w:space="0" w:color="124191" w:themeColor="text2"/>
          </w:tcBorders>
        </w:tcPr>
        <w:p w14:paraId="0A34FFDB" w14:textId="77777777" w:rsidR="00760597" w:rsidRPr="003205FE" w:rsidRDefault="00760597" w:rsidP="003C3068">
          <w:pPr>
            <w:pStyle w:val="aa"/>
            <w:jc w:val="right"/>
            <w:rPr>
              <w:rFonts w:ascii="나눔스퀘어 Bold" w:eastAsia="나눔스퀘어 Bold" w:hAnsi="나눔스퀘어 Bold" w:cs="Arial"/>
              <w:bCs/>
              <w:color w:val="404040" w:themeColor="text1" w:themeTint="BF"/>
              <w:sz w:val="13"/>
              <w:szCs w:val="13"/>
            </w:rPr>
          </w:pPr>
          <w:r w:rsidRPr="003205FE">
            <w:rPr>
              <w:rFonts w:ascii="나눔스퀘어 Bold" w:eastAsia="나눔스퀘어 Bold" w:hAnsi="나눔스퀘어 Bold" w:cs="Arial"/>
              <w:bCs/>
              <w:color w:val="404040" w:themeColor="text1" w:themeTint="BF"/>
              <w:sz w:val="13"/>
              <w:szCs w:val="13"/>
            </w:rPr>
            <w:t>Page</w:t>
          </w:r>
        </w:p>
      </w:tc>
    </w:tr>
    <w:tr w:rsidR="00760597" w:rsidRPr="00D6027F" w14:paraId="798B4F07" w14:textId="77777777" w:rsidTr="00760597">
      <w:tc>
        <w:tcPr>
          <w:tcW w:w="1081" w:type="dxa"/>
          <w:tcBorders>
            <w:right w:val="single" w:sz="8" w:space="0" w:color="124191"/>
          </w:tcBorders>
        </w:tcPr>
        <w:p w14:paraId="1EE48D96" w14:textId="44D590D3" w:rsidR="00760597" w:rsidRPr="003205FE" w:rsidRDefault="00723C45" w:rsidP="00FD2AE1">
          <w:pPr>
            <w:pStyle w:val="aa"/>
            <w:jc w:val="right"/>
            <w:rPr>
              <w:rFonts w:ascii="나눔스퀘어" w:eastAsia="나눔스퀘어" w:hAnsi="나눔스퀘어" w:cs="Arial"/>
              <w:color w:val="808080" w:themeColor="background1" w:themeShade="80"/>
              <w:sz w:val="13"/>
              <w:szCs w:val="13"/>
            </w:rPr>
          </w:pPr>
          <w:r>
            <w:rPr>
              <w:rFonts w:eastAsiaTheme="minorEastAsia" w:hint="eastAsia"/>
              <w:color w:val="808080"/>
              <w:sz w:val="13"/>
            </w:rPr>
            <w:t xml:space="preserve">July </w:t>
          </w:r>
          <w:r w:rsidR="00837670">
            <w:rPr>
              <w:color w:val="808080"/>
              <w:sz w:val="13"/>
            </w:rPr>
            <w:t>2026</w:t>
          </w:r>
        </w:p>
      </w:tc>
      <w:tc>
        <w:tcPr>
          <w:tcW w:w="1081" w:type="dxa"/>
          <w:tcBorders>
            <w:left w:val="single" w:sz="8" w:space="0" w:color="124191"/>
            <w:right w:val="single" w:sz="8" w:space="0" w:color="124191"/>
          </w:tcBorders>
        </w:tcPr>
        <w:p w14:paraId="41186B77" w14:textId="77777777" w:rsidR="00760597" w:rsidRPr="003205FE" w:rsidRDefault="00837670" w:rsidP="00D90546">
          <w:pPr>
            <w:pStyle w:val="aa"/>
            <w:jc w:val="right"/>
            <w:rPr>
              <w:rFonts w:ascii="나눔스퀘어" w:eastAsia="나눔스퀘어" w:hAnsi="나눔스퀘어" w:cs="Arial"/>
              <w:color w:val="808080" w:themeColor="background1" w:themeShade="80"/>
              <w:sz w:val="13"/>
              <w:szCs w:val="13"/>
            </w:rPr>
          </w:pPr>
          <w:r>
            <w:rPr>
              <w:color w:val="808080"/>
              <w:sz w:val="13"/>
            </w:rPr>
            <w:t>1.0.0</w:t>
          </w:r>
        </w:p>
      </w:tc>
      <w:tc>
        <w:tcPr>
          <w:tcW w:w="882" w:type="dxa"/>
          <w:tcBorders>
            <w:left w:val="single" w:sz="8" w:space="0" w:color="124191"/>
            <w:right w:val="single" w:sz="8" w:space="0" w:color="124191" w:themeColor="text2"/>
          </w:tcBorders>
        </w:tcPr>
        <w:p w14:paraId="60DF8201" w14:textId="77777777" w:rsidR="00760597" w:rsidRPr="003205FE" w:rsidRDefault="00760597" w:rsidP="003C3068">
          <w:pPr>
            <w:pStyle w:val="aa"/>
            <w:jc w:val="right"/>
            <w:rPr>
              <w:rFonts w:ascii="나눔스퀘어" w:eastAsia="나눔스퀘어" w:hAnsi="나눔스퀘어" w:cs="Arial"/>
              <w:color w:val="808080" w:themeColor="background1" w:themeShade="80"/>
              <w:sz w:val="13"/>
              <w:szCs w:val="13"/>
            </w:rPr>
          </w:pPr>
          <w:r>
            <w:rPr>
              <w:color w:val="808080"/>
              <w:sz w:val="13"/>
            </w:rPr>
            <w:fldChar w:fldCharType="begin"/>
          </w:r>
          <w:r>
            <w:rPr>
              <w:color w:val="808080"/>
              <w:sz w:val="13"/>
            </w:rPr>
            <w:instrText xml:space="preserve"> PAGE </w:instrText>
          </w:r>
          <w:r>
            <w:rPr>
              <w:color w:val="808080"/>
              <w:sz w:val="13"/>
            </w:rPr>
            <w:fldChar w:fldCharType="separate"/>
          </w:r>
          <w:r>
            <w:rPr>
              <w:color w:val="808080"/>
              <w:sz w:val="13"/>
            </w:rPr>
            <w:t>1</w:t>
          </w:r>
          <w:r>
            <w:rPr>
              <w:color w:val="808080"/>
              <w:sz w:val="13"/>
            </w:rPr>
            <w:fldChar w:fldCharType="end"/>
          </w:r>
        </w:p>
      </w:tc>
    </w:tr>
  </w:tbl>
  <w:p w14:paraId="7063CA9B" w14:textId="77777777" w:rsidR="00CE40DC" w:rsidRPr="00FF356D" w:rsidRDefault="008711F4" w:rsidP="00D6027F">
    <w:pPr>
      <w:pStyle w:val="aa"/>
      <w:tabs>
        <w:tab w:val="clear" w:pos="4252"/>
        <w:tab w:val="clear" w:pos="8504"/>
        <w:tab w:val="left" w:pos="2404"/>
        <w:tab w:val="left" w:pos="4110"/>
      </w:tabs>
      <w:rPr>
        <w:rFonts w:cs="Arial"/>
      </w:rPr>
    </w:pPr>
    <w:r>
      <w:rPr>
        <w:rFonts w:ascii="나눔스퀘어" w:eastAsia="나눔스퀘어" w:hAnsi="나눔스퀘어" w:cs="Arial"/>
        <w:noProof/>
      </w:rPr>
      <w:drawing>
        <wp:anchor distT="0" distB="0" distL="114300" distR="114300" simplePos="0" relativeHeight="251660288" behindDoc="1" locked="0" layoutInCell="1" allowOverlap="1" wp14:anchorId="091F9B0E" wp14:editId="4A96D3E1">
          <wp:simplePos x="0" y="0"/>
          <wp:positionH relativeFrom="column">
            <wp:posOffset>-733303</wp:posOffset>
          </wp:positionH>
          <wp:positionV relativeFrom="paragraph">
            <wp:posOffset>-678693</wp:posOffset>
          </wp:positionV>
          <wp:extent cx="7561379" cy="819150"/>
          <wp:effectExtent l="0" t="0" r="1905" b="0"/>
          <wp:wrapNone/>
          <wp:docPr id="968907177"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r="269"/>
                  <a:stretch/>
                </pic:blipFill>
                <pic:spPr bwMode="auto">
                  <a:xfrm>
                    <a:off x="0" y="0"/>
                    <a:ext cx="7708884" cy="8351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F356D" w:rsidRPr="00FF356D">
      <w:rPr>
        <w:rFonts w:cs="Arial"/>
      </w:rPr>
      <w:tab/>
    </w:r>
    <w:r w:rsidR="00FF356D">
      <w:rPr>
        <w:rFonts w:cs="Arial"/>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C4225" w14:textId="77777777" w:rsidR="00723C45" w:rsidRDefault="00723C45">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FE2124"/>
    <w:multiLevelType w:val="hybridMultilevel"/>
    <w:tmpl w:val="0E4604BC"/>
    <w:lvl w:ilvl="0" w:tplc="270EC6CC">
      <w:start w:val="1"/>
      <w:numFmt w:val="decimal"/>
      <w:lvlText w:val="%1."/>
      <w:lvlJc w:val="left"/>
      <w:pPr>
        <w:ind w:left="360" w:hanging="360"/>
      </w:pPr>
      <w:rPr>
        <w:rFonts w:hint="default"/>
      </w:rPr>
    </w:lvl>
    <w:lvl w:ilvl="1" w:tplc="04090019" w:tentative="1">
      <w:start w:val="1"/>
      <w:numFmt w:val="upp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upp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upp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6F875E59"/>
    <w:multiLevelType w:val="hybridMultilevel"/>
    <w:tmpl w:val="88F239CA"/>
    <w:lvl w:ilvl="0" w:tplc="270EC6CC">
      <w:start w:val="1"/>
      <w:numFmt w:val="decimal"/>
      <w:lvlText w:val="%1."/>
      <w:lvlJc w:val="left"/>
      <w:pPr>
        <w:ind w:left="360" w:hanging="360"/>
      </w:pPr>
      <w:rPr>
        <w:rFonts w:hint="default"/>
      </w:rPr>
    </w:lvl>
    <w:lvl w:ilvl="1" w:tplc="04090019" w:tentative="1">
      <w:start w:val="1"/>
      <w:numFmt w:val="upp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upp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upperLetter"/>
      <w:lvlText w:val="%8."/>
      <w:lvlJc w:val="left"/>
      <w:pPr>
        <w:ind w:left="3520" w:hanging="440"/>
      </w:pPr>
    </w:lvl>
    <w:lvl w:ilvl="8" w:tplc="0409001B" w:tentative="1">
      <w:start w:val="1"/>
      <w:numFmt w:val="lowerRoman"/>
      <w:lvlText w:val="%9."/>
      <w:lvlJc w:val="right"/>
      <w:pPr>
        <w:ind w:left="3960" w:hanging="440"/>
      </w:pPr>
    </w:lvl>
  </w:abstractNum>
  <w:num w:numId="1" w16cid:durableId="520359776">
    <w:abstractNumId w:val="0"/>
  </w:num>
  <w:num w:numId="2" w16cid:durableId="8581979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00"/>
  <w:drawingGridHorizontalSpacing w:val="1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1AB"/>
    <w:rsid w:val="000043A3"/>
    <w:rsid w:val="000140CC"/>
    <w:rsid w:val="00031F3B"/>
    <w:rsid w:val="00055524"/>
    <w:rsid w:val="00070888"/>
    <w:rsid w:val="000718AD"/>
    <w:rsid w:val="00076FFB"/>
    <w:rsid w:val="000A08BE"/>
    <w:rsid w:val="000B3316"/>
    <w:rsid w:val="000C4B28"/>
    <w:rsid w:val="000C6C22"/>
    <w:rsid w:val="000D3825"/>
    <w:rsid w:val="000E3C8E"/>
    <w:rsid w:val="000E51F2"/>
    <w:rsid w:val="000E7FFC"/>
    <w:rsid w:val="000F42FF"/>
    <w:rsid w:val="00100109"/>
    <w:rsid w:val="00103FAF"/>
    <w:rsid w:val="00114772"/>
    <w:rsid w:val="00125BC2"/>
    <w:rsid w:val="00153687"/>
    <w:rsid w:val="00175133"/>
    <w:rsid w:val="00182D06"/>
    <w:rsid w:val="00191DE1"/>
    <w:rsid w:val="0019398A"/>
    <w:rsid w:val="0019549A"/>
    <w:rsid w:val="001A47EB"/>
    <w:rsid w:val="001B184F"/>
    <w:rsid w:val="001B59A6"/>
    <w:rsid w:val="001D12BF"/>
    <w:rsid w:val="0020787F"/>
    <w:rsid w:val="00222FE4"/>
    <w:rsid w:val="00234752"/>
    <w:rsid w:val="00242A26"/>
    <w:rsid w:val="00260238"/>
    <w:rsid w:val="0026325A"/>
    <w:rsid w:val="00290D3C"/>
    <w:rsid w:val="002A24CB"/>
    <w:rsid w:val="002B2A2D"/>
    <w:rsid w:val="002F1A76"/>
    <w:rsid w:val="002F37F1"/>
    <w:rsid w:val="002F3E61"/>
    <w:rsid w:val="00305C8A"/>
    <w:rsid w:val="003167B7"/>
    <w:rsid w:val="003205FE"/>
    <w:rsid w:val="003336D9"/>
    <w:rsid w:val="003378BB"/>
    <w:rsid w:val="00363923"/>
    <w:rsid w:val="00371533"/>
    <w:rsid w:val="00385CC6"/>
    <w:rsid w:val="003C0167"/>
    <w:rsid w:val="003C1F00"/>
    <w:rsid w:val="003C5187"/>
    <w:rsid w:val="003D21F4"/>
    <w:rsid w:val="00411E62"/>
    <w:rsid w:val="00462ACF"/>
    <w:rsid w:val="00480723"/>
    <w:rsid w:val="00490005"/>
    <w:rsid w:val="004E0B65"/>
    <w:rsid w:val="004F0E32"/>
    <w:rsid w:val="00506031"/>
    <w:rsid w:val="00530F82"/>
    <w:rsid w:val="00537F49"/>
    <w:rsid w:val="0054050A"/>
    <w:rsid w:val="00543314"/>
    <w:rsid w:val="005529EF"/>
    <w:rsid w:val="005802CB"/>
    <w:rsid w:val="00580D1F"/>
    <w:rsid w:val="005846DF"/>
    <w:rsid w:val="00592304"/>
    <w:rsid w:val="005A2559"/>
    <w:rsid w:val="005B102F"/>
    <w:rsid w:val="005B7523"/>
    <w:rsid w:val="005D040B"/>
    <w:rsid w:val="005D615C"/>
    <w:rsid w:val="005D720E"/>
    <w:rsid w:val="005F0D0D"/>
    <w:rsid w:val="0064276A"/>
    <w:rsid w:val="00665A15"/>
    <w:rsid w:val="00667C51"/>
    <w:rsid w:val="0068686C"/>
    <w:rsid w:val="006E426C"/>
    <w:rsid w:val="006E7E04"/>
    <w:rsid w:val="00706B7A"/>
    <w:rsid w:val="007129A6"/>
    <w:rsid w:val="00723C45"/>
    <w:rsid w:val="00725F3F"/>
    <w:rsid w:val="00746C07"/>
    <w:rsid w:val="00753360"/>
    <w:rsid w:val="00760597"/>
    <w:rsid w:val="00761FC4"/>
    <w:rsid w:val="007875FE"/>
    <w:rsid w:val="007B250E"/>
    <w:rsid w:val="007D0FA9"/>
    <w:rsid w:val="007F7D4B"/>
    <w:rsid w:val="00811064"/>
    <w:rsid w:val="00815D7D"/>
    <w:rsid w:val="008234BB"/>
    <w:rsid w:val="008322B0"/>
    <w:rsid w:val="00837670"/>
    <w:rsid w:val="008523D7"/>
    <w:rsid w:val="00852EDD"/>
    <w:rsid w:val="00864BA6"/>
    <w:rsid w:val="00866448"/>
    <w:rsid w:val="008711F4"/>
    <w:rsid w:val="008751DF"/>
    <w:rsid w:val="009132DC"/>
    <w:rsid w:val="009146AF"/>
    <w:rsid w:val="00940250"/>
    <w:rsid w:val="0095247B"/>
    <w:rsid w:val="00952898"/>
    <w:rsid w:val="00954CF4"/>
    <w:rsid w:val="00956A1F"/>
    <w:rsid w:val="009C09B6"/>
    <w:rsid w:val="009C6A4C"/>
    <w:rsid w:val="009C6B48"/>
    <w:rsid w:val="009D5028"/>
    <w:rsid w:val="009E15A5"/>
    <w:rsid w:val="00A05394"/>
    <w:rsid w:val="00A93EF7"/>
    <w:rsid w:val="00AA3708"/>
    <w:rsid w:val="00AC69C0"/>
    <w:rsid w:val="00AE013F"/>
    <w:rsid w:val="00AE6AD2"/>
    <w:rsid w:val="00AF23DE"/>
    <w:rsid w:val="00AF4D2F"/>
    <w:rsid w:val="00B03425"/>
    <w:rsid w:val="00B43DF2"/>
    <w:rsid w:val="00B50F38"/>
    <w:rsid w:val="00B72B42"/>
    <w:rsid w:val="00B75E0C"/>
    <w:rsid w:val="00B86B86"/>
    <w:rsid w:val="00BA1D34"/>
    <w:rsid w:val="00BC5A9E"/>
    <w:rsid w:val="00BF22A9"/>
    <w:rsid w:val="00C06D55"/>
    <w:rsid w:val="00C16257"/>
    <w:rsid w:val="00C52E8A"/>
    <w:rsid w:val="00C830BA"/>
    <w:rsid w:val="00C85268"/>
    <w:rsid w:val="00CA15E4"/>
    <w:rsid w:val="00CA39B5"/>
    <w:rsid w:val="00CB1DC7"/>
    <w:rsid w:val="00CD200B"/>
    <w:rsid w:val="00CD42FB"/>
    <w:rsid w:val="00CE40DC"/>
    <w:rsid w:val="00CE4F8E"/>
    <w:rsid w:val="00CF253A"/>
    <w:rsid w:val="00D0243F"/>
    <w:rsid w:val="00D132FB"/>
    <w:rsid w:val="00D161AB"/>
    <w:rsid w:val="00D6027F"/>
    <w:rsid w:val="00D73D0F"/>
    <w:rsid w:val="00D8346D"/>
    <w:rsid w:val="00DA7BEA"/>
    <w:rsid w:val="00DC5CB5"/>
    <w:rsid w:val="00DD2ED7"/>
    <w:rsid w:val="00DE582C"/>
    <w:rsid w:val="00DF0104"/>
    <w:rsid w:val="00E068C7"/>
    <w:rsid w:val="00E7572A"/>
    <w:rsid w:val="00E838E6"/>
    <w:rsid w:val="00EB20A0"/>
    <w:rsid w:val="00ED6035"/>
    <w:rsid w:val="00F03D81"/>
    <w:rsid w:val="00F07F10"/>
    <w:rsid w:val="00F46C4A"/>
    <w:rsid w:val="00F50B74"/>
    <w:rsid w:val="00F92847"/>
    <w:rsid w:val="00FB392F"/>
    <w:rsid w:val="00FC4BAA"/>
    <w:rsid w:val="00FF356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45B859"/>
  <w15:chartTrackingRefBased/>
  <w15:docId w15:val="{B73A85FC-51EA-4B56-A97F-A72B3EA91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EastAsia" w:eastAsiaTheme="minorEastAsia" w:hAnsiTheme="minorHAnsi" w:cstheme="minorBidi"/>
        <w:kern w:val="2"/>
        <w:sz w:val="22"/>
        <w:szCs w:val="24"/>
        <w:lang w:val="en-US" w:eastAsia="ko-KR"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70888"/>
    <w:pPr>
      <w:widowControl w:val="0"/>
      <w:wordWrap w:val="0"/>
      <w:spacing w:after="100" w:line="269" w:lineRule="auto"/>
      <w:jc w:val="both"/>
    </w:pPr>
    <w:rPr>
      <w:rFonts w:ascii="Arial" w:eastAsia="Arial" w:hAnsi="Arial" w:cs="Times New Roman"/>
      <w:sz w:val="19"/>
      <w:szCs w:val="20"/>
      <w14:ligatures w14:val="none"/>
    </w:rPr>
  </w:style>
  <w:style w:type="paragraph" w:styleId="1">
    <w:name w:val="heading 1"/>
    <w:basedOn w:val="a"/>
    <w:next w:val="a"/>
    <w:link w:val="1Char"/>
    <w:qFormat/>
    <w:rsid w:val="00D161AB"/>
    <w:pPr>
      <w:keepNext/>
      <w:keepLines/>
      <w:spacing w:before="280" w:after="80"/>
      <w:outlineLvl w:val="0"/>
    </w:pPr>
    <w:rPr>
      <w:rFonts w:asciiTheme="majorHAnsi" w:eastAsiaTheme="majorEastAsia" w:hAnsiTheme="majorHAnsi" w:cstheme="majorBidi"/>
      <w:b/>
      <w:color w:val="124191"/>
      <w:sz w:val="32"/>
      <w:szCs w:val="32"/>
    </w:rPr>
  </w:style>
  <w:style w:type="paragraph" w:styleId="2">
    <w:name w:val="heading 2"/>
    <w:basedOn w:val="a"/>
    <w:next w:val="a"/>
    <w:link w:val="2Char"/>
    <w:unhideWhenUsed/>
    <w:qFormat/>
    <w:rsid w:val="00D161AB"/>
    <w:pPr>
      <w:keepNext/>
      <w:keepLines/>
      <w:spacing w:before="160" w:after="80"/>
      <w:outlineLvl w:val="1"/>
    </w:pPr>
    <w:rPr>
      <w:rFonts w:asciiTheme="majorHAnsi" w:eastAsiaTheme="majorEastAsia" w:hAnsiTheme="majorHAnsi" w:cstheme="majorBidi"/>
      <w:b/>
      <w:color w:val="222222"/>
      <w:sz w:val="24"/>
      <w:szCs w:val="28"/>
    </w:rPr>
  </w:style>
  <w:style w:type="paragraph" w:styleId="3">
    <w:name w:val="heading 3"/>
    <w:basedOn w:val="a"/>
    <w:next w:val="a"/>
    <w:link w:val="3Char"/>
    <w:unhideWhenUsed/>
    <w:qFormat/>
    <w:rsid w:val="00D161AB"/>
    <w:pPr>
      <w:keepNext/>
      <w:keepLines/>
      <w:spacing w:before="160" w:after="80"/>
      <w:outlineLvl w:val="2"/>
    </w:pPr>
    <w:rPr>
      <w:rFonts w:asciiTheme="majorHAnsi" w:eastAsiaTheme="majorEastAsia" w:hAnsiTheme="majorHAnsi" w:cstheme="majorBidi"/>
      <w:b/>
      <w:color w:val="124191"/>
      <w:sz w:val="20"/>
    </w:rPr>
  </w:style>
  <w:style w:type="paragraph" w:styleId="4">
    <w:name w:val="heading 4"/>
    <w:basedOn w:val="a"/>
    <w:next w:val="a"/>
    <w:link w:val="4Char"/>
    <w:unhideWhenUsed/>
    <w:qFormat/>
    <w:rsid w:val="00D161A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Char"/>
    <w:unhideWhenUsed/>
    <w:qFormat/>
    <w:rsid w:val="00D161A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Char"/>
    <w:unhideWhenUsed/>
    <w:qFormat/>
    <w:rsid w:val="00D161A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Char"/>
    <w:unhideWhenUsed/>
    <w:qFormat/>
    <w:rsid w:val="00D161A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Char"/>
    <w:unhideWhenUsed/>
    <w:qFormat/>
    <w:rsid w:val="00D161A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Char"/>
    <w:unhideWhenUsed/>
    <w:qFormat/>
    <w:rsid w:val="00D161A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rsid w:val="00D161AB"/>
    <w:rPr>
      <w:rFonts w:asciiTheme="majorHAnsi" w:eastAsiaTheme="majorEastAsia" w:hAnsiTheme="majorHAnsi" w:cstheme="majorBidi"/>
      <w:color w:val="000000" w:themeColor="text1"/>
      <w:sz w:val="32"/>
      <w:szCs w:val="32"/>
    </w:rPr>
  </w:style>
  <w:style w:type="character" w:customStyle="1" w:styleId="2Char">
    <w:name w:val="제목 2 Char"/>
    <w:basedOn w:val="a0"/>
    <w:link w:val="2"/>
    <w:rsid w:val="00D161AB"/>
    <w:rPr>
      <w:rFonts w:asciiTheme="majorHAnsi" w:eastAsiaTheme="majorEastAsia" w:hAnsiTheme="majorHAnsi" w:cstheme="majorBidi"/>
      <w:color w:val="000000" w:themeColor="text1"/>
      <w:sz w:val="28"/>
      <w:szCs w:val="28"/>
    </w:rPr>
  </w:style>
  <w:style w:type="character" w:customStyle="1" w:styleId="3Char">
    <w:name w:val="제목 3 Char"/>
    <w:basedOn w:val="a0"/>
    <w:link w:val="3"/>
    <w:uiPriority w:val="9"/>
    <w:semiHidden/>
    <w:rsid w:val="00D161AB"/>
    <w:rPr>
      <w:rFonts w:asciiTheme="majorHAnsi" w:eastAsiaTheme="majorEastAsia" w:hAnsiTheme="majorHAnsi" w:cstheme="majorBidi"/>
      <w:color w:val="000000" w:themeColor="text1"/>
      <w:sz w:val="24"/>
    </w:rPr>
  </w:style>
  <w:style w:type="character" w:customStyle="1" w:styleId="4Char">
    <w:name w:val="제목 4 Char"/>
    <w:basedOn w:val="a0"/>
    <w:link w:val="4"/>
    <w:uiPriority w:val="9"/>
    <w:semiHidden/>
    <w:rsid w:val="00D161AB"/>
    <w:rPr>
      <w:rFonts w:asciiTheme="majorHAnsi" w:eastAsiaTheme="majorEastAsia" w:hAnsiTheme="majorHAnsi" w:cstheme="majorBidi"/>
      <w:color w:val="000000" w:themeColor="text1"/>
    </w:rPr>
  </w:style>
  <w:style w:type="character" w:customStyle="1" w:styleId="5Char">
    <w:name w:val="제목 5 Char"/>
    <w:basedOn w:val="a0"/>
    <w:link w:val="5"/>
    <w:uiPriority w:val="9"/>
    <w:semiHidden/>
    <w:rsid w:val="00D161AB"/>
    <w:rPr>
      <w:rFonts w:asciiTheme="majorHAnsi" w:eastAsiaTheme="majorEastAsia" w:hAnsiTheme="majorHAnsi" w:cstheme="majorBidi"/>
      <w:color w:val="000000" w:themeColor="text1"/>
    </w:rPr>
  </w:style>
  <w:style w:type="character" w:customStyle="1" w:styleId="6Char">
    <w:name w:val="제목 6 Char"/>
    <w:basedOn w:val="a0"/>
    <w:link w:val="6"/>
    <w:uiPriority w:val="9"/>
    <w:semiHidden/>
    <w:rsid w:val="00D161AB"/>
    <w:rPr>
      <w:rFonts w:asciiTheme="majorHAnsi" w:eastAsiaTheme="majorEastAsia" w:hAnsiTheme="majorHAnsi" w:cstheme="majorBidi"/>
      <w:color w:val="000000" w:themeColor="text1"/>
    </w:rPr>
  </w:style>
  <w:style w:type="character" w:customStyle="1" w:styleId="7Char">
    <w:name w:val="제목 7 Char"/>
    <w:basedOn w:val="a0"/>
    <w:link w:val="7"/>
    <w:uiPriority w:val="9"/>
    <w:semiHidden/>
    <w:rsid w:val="00D161AB"/>
    <w:rPr>
      <w:rFonts w:asciiTheme="majorHAnsi" w:eastAsiaTheme="majorEastAsia" w:hAnsiTheme="majorHAnsi" w:cstheme="majorBidi"/>
      <w:color w:val="000000" w:themeColor="text1"/>
    </w:rPr>
  </w:style>
  <w:style w:type="character" w:customStyle="1" w:styleId="8Char">
    <w:name w:val="제목 8 Char"/>
    <w:basedOn w:val="a0"/>
    <w:link w:val="8"/>
    <w:uiPriority w:val="9"/>
    <w:semiHidden/>
    <w:rsid w:val="00D161AB"/>
    <w:rPr>
      <w:rFonts w:asciiTheme="majorHAnsi" w:eastAsiaTheme="majorEastAsia" w:hAnsiTheme="majorHAnsi" w:cstheme="majorBidi"/>
      <w:color w:val="000000" w:themeColor="text1"/>
    </w:rPr>
  </w:style>
  <w:style w:type="character" w:customStyle="1" w:styleId="9Char">
    <w:name w:val="제목 9 Char"/>
    <w:basedOn w:val="a0"/>
    <w:link w:val="9"/>
    <w:uiPriority w:val="9"/>
    <w:semiHidden/>
    <w:rsid w:val="00D161AB"/>
    <w:rPr>
      <w:rFonts w:asciiTheme="majorHAnsi" w:eastAsiaTheme="majorEastAsia" w:hAnsiTheme="majorHAnsi" w:cstheme="majorBidi"/>
      <w:color w:val="000000" w:themeColor="text1"/>
    </w:rPr>
  </w:style>
  <w:style w:type="paragraph" w:styleId="a3">
    <w:name w:val="Title"/>
    <w:basedOn w:val="a"/>
    <w:next w:val="a"/>
    <w:link w:val="Char"/>
    <w:uiPriority w:val="10"/>
    <w:qFormat/>
    <w:rsid w:val="00D161AB"/>
    <w:pPr>
      <w:spacing w:after="80"/>
      <w:contextualSpacing/>
      <w:jc w:val="center"/>
    </w:pPr>
    <w:rPr>
      <w:rFonts w:asciiTheme="majorHAnsi" w:eastAsiaTheme="majorEastAsia" w:hAnsiTheme="majorHAnsi" w:cstheme="majorBidi"/>
      <w:spacing w:val="-10"/>
      <w:kern w:val="28"/>
      <w:sz w:val="56"/>
      <w:szCs w:val="56"/>
    </w:rPr>
  </w:style>
  <w:style w:type="character" w:customStyle="1" w:styleId="Char">
    <w:name w:val="제목 Char"/>
    <w:basedOn w:val="a0"/>
    <w:link w:val="a3"/>
    <w:uiPriority w:val="10"/>
    <w:rsid w:val="00D161AB"/>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D161AB"/>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Char0">
    <w:name w:val="부제 Char"/>
    <w:basedOn w:val="a0"/>
    <w:link w:val="a4"/>
    <w:uiPriority w:val="11"/>
    <w:rsid w:val="00D161AB"/>
    <w:rPr>
      <w:rFonts w:asciiTheme="majorHAnsi" w:eastAsiaTheme="majorEastAsia" w:hAnsiTheme="majorHAnsi" w:cstheme="majorBidi"/>
      <w:color w:val="595959" w:themeColor="text1" w:themeTint="A6"/>
      <w:spacing w:val="15"/>
      <w:sz w:val="28"/>
      <w:szCs w:val="28"/>
    </w:rPr>
  </w:style>
  <w:style w:type="paragraph" w:styleId="a5">
    <w:name w:val="Quote"/>
    <w:basedOn w:val="a"/>
    <w:next w:val="a"/>
    <w:link w:val="Char1"/>
    <w:uiPriority w:val="29"/>
    <w:qFormat/>
    <w:rsid w:val="00D161AB"/>
    <w:pPr>
      <w:spacing w:before="160"/>
      <w:jc w:val="center"/>
    </w:pPr>
    <w:rPr>
      <w:i/>
      <w:iCs/>
      <w:color w:val="404040" w:themeColor="text1" w:themeTint="BF"/>
    </w:rPr>
  </w:style>
  <w:style w:type="character" w:customStyle="1" w:styleId="Char1">
    <w:name w:val="인용 Char"/>
    <w:basedOn w:val="a0"/>
    <w:link w:val="a5"/>
    <w:uiPriority w:val="29"/>
    <w:rsid w:val="00D161AB"/>
    <w:rPr>
      <w:i/>
      <w:iCs/>
      <w:color w:val="404040" w:themeColor="text1" w:themeTint="BF"/>
    </w:rPr>
  </w:style>
  <w:style w:type="paragraph" w:styleId="a6">
    <w:name w:val="List Paragraph"/>
    <w:basedOn w:val="a"/>
    <w:uiPriority w:val="34"/>
    <w:qFormat/>
    <w:rsid w:val="00D161AB"/>
    <w:pPr>
      <w:ind w:left="720"/>
      <w:contextualSpacing/>
    </w:pPr>
  </w:style>
  <w:style w:type="character" w:styleId="a7">
    <w:name w:val="Intense Emphasis"/>
    <w:basedOn w:val="a0"/>
    <w:uiPriority w:val="21"/>
    <w:qFormat/>
    <w:rsid w:val="00D161AB"/>
    <w:rPr>
      <w:i/>
      <w:iCs/>
      <w:color w:val="264356" w:themeColor="accent1" w:themeShade="BF"/>
    </w:rPr>
  </w:style>
  <w:style w:type="paragraph" w:styleId="a8">
    <w:name w:val="Intense Quote"/>
    <w:basedOn w:val="a"/>
    <w:next w:val="a"/>
    <w:link w:val="Char2"/>
    <w:uiPriority w:val="30"/>
    <w:qFormat/>
    <w:rsid w:val="00D161AB"/>
    <w:pPr>
      <w:pBdr>
        <w:top w:val="single" w:sz="4" w:space="10" w:color="264356" w:themeColor="accent1" w:themeShade="BF"/>
        <w:bottom w:val="single" w:sz="4" w:space="10" w:color="264356" w:themeColor="accent1" w:themeShade="BF"/>
      </w:pBdr>
      <w:spacing w:before="360" w:after="360"/>
      <w:ind w:left="864" w:right="864"/>
      <w:jc w:val="center"/>
    </w:pPr>
    <w:rPr>
      <w:i/>
      <w:iCs/>
      <w:color w:val="264356" w:themeColor="accent1" w:themeShade="BF"/>
    </w:rPr>
  </w:style>
  <w:style w:type="character" w:customStyle="1" w:styleId="Char2">
    <w:name w:val="강한 인용 Char"/>
    <w:basedOn w:val="a0"/>
    <w:link w:val="a8"/>
    <w:uiPriority w:val="30"/>
    <w:rsid w:val="00D161AB"/>
    <w:rPr>
      <w:i/>
      <w:iCs/>
      <w:color w:val="264356" w:themeColor="accent1" w:themeShade="BF"/>
    </w:rPr>
  </w:style>
  <w:style w:type="character" w:styleId="a9">
    <w:name w:val="Intense Reference"/>
    <w:basedOn w:val="a0"/>
    <w:uiPriority w:val="32"/>
    <w:qFormat/>
    <w:rsid w:val="00D161AB"/>
    <w:rPr>
      <w:b/>
      <w:bCs/>
      <w:smallCaps/>
      <w:color w:val="264356" w:themeColor="accent1" w:themeShade="BF"/>
      <w:spacing w:val="5"/>
    </w:rPr>
  </w:style>
  <w:style w:type="paragraph" w:styleId="aa">
    <w:name w:val="header"/>
    <w:basedOn w:val="a"/>
    <w:link w:val="Char3"/>
    <w:uiPriority w:val="99"/>
    <w:rsid w:val="0019549A"/>
    <w:pPr>
      <w:tabs>
        <w:tab w:val="center" w:pos="4252"/>
        <w:tab w:val="right" w:pos="8504"/>
      </w:tabs>
      <w:snapToGrid w:val="0"/>
    </w:pPr>
  </w:style>
  <w:style w:type="character" w:customStyle="1" w:styleId="Char3">
    <w:name w:val="머리글 Char"/>
    <w:basedOn w:val="a0"/>
    <w:link w:val="aa"/>
    <w:uiPriority w:val="99"/>
    <w:rsid w:val="0019549A"/>
    <w:rPr>
      <w:rFonts w:ascii="Arial" w:eastAsia="굴림체" w:hAnsi="Arial" w:cs="Times New Roman"/>
      <w:sz w:val="20"/>
      <w:szCs w:val="20"/>
      <w14:ligatures w14:val="none"/>
    </w:rPr>
  </w:style>
  <w:style w:type="paragraph" w:styleId="ab">
    <w:name w:val="footer"/>
    <w:basedOn w:val="a"/>
    <w:link w:val="Char4"/>
    <w:uiPriority w:val="99"/>
    <w:rsid w:val="0019549A"/>
    <w:pPr>
      <w:tabs>
        <w:tab w:val="center" w:pos="4252"/>
        <w:tab w:val="right" w:pos="8504"/>
      </w:tabs>
      <w:snapToGrid w:val="0"/>
    </w:pPr>
  </w:style>
  <w:style w:type="character" w:customStyle="1" w:styleId="Char4">
    <w:name w:val="바닥글 Char"/>
    <w:basedOn w:val="a0"/>
    <w:link w:val="ab"/>
    <w:uiPriority w:val="99"/>
    <w:rsid w:val="0019549A"/>
    <w:rPr>
      <w:rFonts w:ascii="Arial" w:eastAsia="굴림체" w:hAnsi="Arial" w:cs="Times New Roman"/>
      <w:sz w:val="20"/>
      <w:szCs w:val="20"/>
      <w14:ligatures w14:val="none"/>
    </w:rPr>
  </w:style>
  <w:style w:type="paragraph" w:styleId="ac">
    <w:name w:val="Normal Indent"/>
    <w:basedOn w:val="a"/>
    <w:rsid w:val="0019549A"/>
    <w:pPr>
      <w:ind w:left="851"/>
    </w:pPr>
  </w:style>
  <w:style w:type="paragraph" w:styleId="10">
    <w:name w:val="toc 1"/>
    <w:basedOn w:val="a"/>
    <w:next w:val="a"/>
    <w:autoRedefine/>
    <w:uiPriority w:val="39"/>
    <w:rsid w:val="008234BB"/>
    <w:pPr>
      <w:tabs>
        <w:tab w:val="left" w:pos="400"/>
        <w:tab w:val="right" w:leader="dot" w:pos="9515"/>
      </w:tabs>
      <w:spacing w:before="120" w:after="120"/>
      <w:jc w:val="left"/>
    </w:pPr>
    <w:rPr>
      <w:rFonts w:cs="Arial"/>
      <w:caps/>
      <w:noProof/>
      <w:color w:val="124191"/>
      <w:sz w:val="20"/>
    </w:rPr>
  </w:style>
  <w:style w:type="paragraph" w:styleId="20">
    <w:name w:val="toc 2"/>
    <w:basedOn w:val="a"/>
    <w:next w:val="a"/>
    <w:autoRedefine/>
    <w:uiPriority w:val="39"/>
    <w:rsid w:val="0019549A"/>
    <w:pPr>
      <w:ind w:left="200"/>
      <w:jc w:val="left"/>
    </w:pPr>
    <w:rPr>
      <w:smallCaps/>
      <w:color w:val="222222"/>
      <w:sz w:val="18"/>
    </w:rPr>
  </w:style>
  <w:style w:type="table" w:styleId="ad">
    <w:name w:val="Table Grid"/>
    <w:aliases w:val="본문-표"/>
    <w:basedOn w:val="a1"/>
    <w:rsid w:val="0019549A"/>
    <w:pPr>
      <w:widowControl w:val="0"/>
      <w:wordWrap w:val="0"/>
      <w:spacing w:after="0"/>
      <w:jc w:val="both"/>
    </w:pPr>
    <w:rPr>
      <w:rFonts w:ascii="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uiPriority w:val="99"/>
    <w:rsid w:val="0019549A"/>
    <w:rPr>
      <w:color w:val="0000FF"/>
      <w:u w:val="single"/>
    </w:rPr>
  </w:style>
  <w:style w:type="character" w:customStyle="1" w:styleId="-">
    <w:name w:val="표-왼쪽"/>
    <w:rsid w:val="0019549A"/>
    <w:rPr>
      <w:rFonts w:ascii="돋움" w:eastAsia="돋움" w:hAnsi="돋움"/>
      <w:sz w:val="16"/>
    </w:rPr>
  </w:style>
  <w:style w:type="paragraph" w:customStyle="1" w:styleId="-0">
    <w:name w:val="표-가운데"/>
    <w:basedOn w:val="a"/>
    <w:rsid w:val="0019549A"/>
    <w:pPr>
      <w:autoSpaceDE w:val="0"/>
      <w:autoSpaceDN w:val="0"/>
      <w:adjustRightInd w:val="0"/>
      <w:snapToGrid w:val="0"/>
      <w:jc w:val="center"/>
    </w:pPr>
    <w:rPr>
      <w:rFonts w:ascii="돋움" w:eastAsia="돋움" w:hAnsi="돋움" w:cs="돋움"/>
      <w:sz w:val="16"/>
    </w:rPr>
  </w:style>
  <w:style w:type="paragraph" w:customStyle="1" w:styleId="Default">
    <w:name w:val="Default"/>
    <w:rsid w:val="00760597"/>
    <w:pPr>
      <w:widowControl w:val="0"/>
      <w:autoSpaceDE w:val="0"/>
      <w:autoSpaceDN w:val="0"/>
      <w:adjustRightInd w:val="0"/>
      <w:spacing w:after="0"/>
    </w:pPr>
    <w:rPr>
      <w:rFonts w:ascii="Verdana" w:hAnsi="Verdana" w:cs="Verdana"/>
      <w:color w:val="000000"/>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image" Target="media/image9.svg"/><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테마">
  <a:themeElements>
    <a:clrScheme name="Inno PPT Color">
      <a:dk1>
        <a:sysClr val="windowText" lastClr="000000"/>
      </a:dk1>
      <a:lt1>
        <a:srgbClr val="FFFFFF"/>
      </a:lt1>
      <a:dk2>
        <a:srgbClr val="124191"/>
      </a:dk2>
      <a:lt2>
        <a:srgbClr val="00C9FF"/>
      </a:lt2>
      <a:accent1>
        <a:srgbClr val="335B74"/>
      </a:accent1>
      <a:accent2>
        <a:srgbClr val="4C6268"/>
      </a:accent2>
      <a:accent3>
        <a:srgbClr val="A8BBC0"/>
      </a:accent3>
      <a:accent4>
        <a:srgbClr val="EBEBEB"/>
      </a:accent4>
      <a:accent5>
        <a:srgbClr val="F8A41A"/>
      </a:accent5>
      <a:accent6>
        <a:srgbClr val="62B946"/>
      </a:accent6>
      <a:hlink>
        <a:srgbClr val="00C9FF"/>
      </a:hlink>
      <a:folHlink>
        <a:srgbClr val="124191"/>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4C3A48-3538-44DA-963F-F7364097C8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15</Pages>
  <Words>3495</Words>
  <Characters>19928</Characters>
  <Application>Microsoft Office Word</Application>
  <DocSecurity>0</DocSecurity>
  <Lines>166</Lines>
  <Paragraphs>46</Paragraphs>
  <ScaleCrop>false</ScaleCrop>
  <HeadingPairs>
    <vt:vector size="2" baseType="variant">
      <vt:variant>
        <vt:lpstr>제목</vt:lpstr>
      </vt:variant>
      <vt:variant>
        <vt:i4>1</vt:i4>
      </vt:variant>
    </vt:vector>
  </HeadingPairs>
  <TitlesOfParts>
    <vt:vector size="1" baseType="lpstr">
      <vt:lpstr>AI-Based No-Reference Video Quality Assessment for the 5G and 6G Era</vt:lpstr>
    </vt:vector>
  </TitlesOfParts>
  <Company/>
  <LinksUpToDate>false</LinksUpToDate>
  <CharactersWithSpaces>23377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AI-Based No-Reference Video Quality Assessment for the 5G and 6G Era</dc:title>
  <dc:subject>ITU-T J.344 standardization, VQML algorithm, performance, and XCAL use cases</dc:subject>
  <dc:creator>LIG Accuver</dc:creator>
  <cp:keywords>VQML, ITU-T J.344, no-reference video quality assessment, XCAL, QoE, 5G, 6G</cp:keywords>
  <dc:description/>
  <cp:lastModifiedBy>Sol Yoon</cp:lastModifiedBy>
  <cp:revision>3</cp:revision>
  <cp:lastPrinted>2025-04-29T04:34:00Z</cp:lastPrinted>
  <dcterms:created xsi:type="dcterms:W3CDTF">2026-07-23T02:11:00Z</dcterms:created>
  <dcterms:modified xsi:type="dcterms:W3CDTF">2026-07-23T02:23:00Z</dcterms:modified>
</cp:coreProperties>
</file>